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2D4B4B">
        <w:rPr>
          <w:rFonts w:hint="eastAsia"/>
          <w:sz w:val="20"/>
          <w:lang w:val="sv-SE"/>
        </w:rPr>
        <w:t>82</w:t>
      </w:r>
      <w:r w:rsidR="00857CEA">
        <w:rPr>
          <w:sz w:val="20"/>
          <w:lang w:val="sv-SE"/>
        </w:rPr>
        <w:tab/>
      </w:r>
      <w:r w:rsidR="00155289" w:rsidRPr="00155289">
        <w:rPr>
          <w:sz w:val="20"/>
          <w:lang w:val="sv-SE"/>
        </w:rPr>
        <w:t>R4-1</w:t>
      </w:r>
      <w:r w:rsidR="008B2798">
        <w:rPr>
          <w:sz w:val="20"/>
          <w:lang w:val="sv-SE"/>
        </w:rPr>
        <w:t>7</w:t>
      </w:r>
      <w:r w:rsidR="003878C2">
        <w:rPr>
          <w:sz w:val="20"/>
          <w:lang w:val="sv-SE"/>
        </w:rPr>
        <w:t>00988</w:t>
      </w:r>
    </w:p>
    <w:p w:rsidR="00C76A0D" w:rsidRDefault="008B2798" w:rsidP="00197EC1">
      <w:pPr>
        <w:pStyle w:val="FootnoteText"/>
        <w:rPr>
          <w:rFonts w:ascii="Arial" w:eastAsiaTheme="minorEastAsia" w:hAnsi="Arial" w:cs="Arial"/>
          <w:b/>
          <w:bCs/>
          <w:noProof/>
          <w:szCs w:val="18"/>
          <w:lang w:eastAsia="zh-CN"/>
        </w:rPr>
      </w:pPr>
      <w:r w:rsidRPr="008B2798">
        <w:rPr>
          <w:rFonts w:ascii="Arial" w:eastAsiaTheme="minorEastAsia" w:hAnsi="Arial" w:cs="Arial"/>
          <w:b/>
          <w:bCs/>
          <w:noProof/>
          <w:szCs w:val="18"/>
          <w:lang w:eastAsia="zh-CN"/>
        </w:rPr>
        <w:t>Athens, Greece, 13th – 17th February 2017</w:t>
      </w:r>
    </w:p>
    <w:p w:rsidR="008B2798" w:rsidRPr="00C76A0D" w:rsidRDefault="008B2798"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7D4037">
        <w:rPr>
          <w:sz w:val="20"/>
          <w:lang w:val="en-US"/>
        </w:rPr>
        <w:t xml:space="preserve">Discussion on </w:t>
      </w:r>
      <w:r w:rsidR="00DA0A66">
        <w:rPr>
          <w:sz w:val="20"/>
          <w:lang w:val="en-US"/>
        </w:rPr>
        <w:t>multiple unlicensed carrier extension in Rel-14 LAA 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713008">
        <w:rPr>
          <w:sz w:val="20"/>
          <w:lang w:val="en-US"/>
        </w:rPr>
        <w:t>7.32.4</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CD6EE1" w:rsidRDefault="0073569A" w:rsidP="003560F7">
      <w:r>
        <w:t xml:space="preserve">In Rel-13, due to time reason, the RF requirements are defined based on one </w:t>
      </w:r>
      <w:proofErr w:type="spellStart"/>
      <w:r>
        <w:t>Pcell</w:t>
      </w:r>
      <w:proofErr w:type="spellEnd"/>
      <w:r>
        <w:t xml:space="preserve"> and one LAA </w:t>
      </w:r>
      <w:proofErr w:type="spellStart"/>
      <w:r>
        <w:t>SCell</w:t>
      </w:r>
      <w:proofErr w:type="spellEnd"/>
      <w:r>
        <w:t xml:space="preserve">. Thus, the RRM requirements and demodulation requirements are defined also for one </w:t>
      </w:r>
      <w:proofErr w:type="spellStart"/>
      <w:r>
        <w:t>Pcell</w:t>
      </w:r>
      <w:proofErr w:type="spellEnd"/>
      <w:r>
        <w:t xml:space="preserve"> and one LAA </w:t>
      </w:r>
      <w:proofErr w:type="spellStart"/>
      <w:r>
        <w:t>Scell</w:t>
      </w:r>
      <w:proofErr w:type="spellEnd"/>
      <w:r>
        <w:t xml:space="preserve"> accordingly. </w:t>
      </w:r>
      <w:r w:rsidR="00D652CD">
        <w:t xml:space="preserve">In Rel-14, the RF requirements have been extended from one </w:t>
      </w:r>
      <w:proofErr w:type="spellStart"/>
      <w:r w:rsidR="00D652CD">
        <w:t>Pcell</w:t>
      </w:r>
      <w:proofErr w:type="spellEnd"/>
      <w:r w:rsidR="00D652CD">
        <w:t xml:space="preserve"> and one LAA </w:t>
      </w:r>
      <w:proofErr w:type="spellStart"/>
      <w:r w:rsidR="00D652CD">
        <w:t>Scell</w:t>
      </w:r>
      <w:proofErr w:type="spellEnd"/>
      <w:r w:rsidR="00D652CD">
        <w:t xml:space="preserve"> into multiple licensed carriers and multiple unlicensed carriers. The RRM requirements and demodulation requirements shall be extended accordingly. </w:t>
      </w:r>
      <w:r w:rsidR="00CD6EE1">
        <w:t>In RAN4#81 meeting, the group had made some discussion</w:t>
      </w:r>
      <w:r w:rsidR="00CE4A65">
        <w:t>s</w:t>
      </w:r>
      <w:r w:rsidR="00CD6EE1">
        <w:t xml:space="preserve"> on how to perform the extension, but there is no consensus</w:t>
      </w:r>
      <w:r w:rsidR="00CE4A65">
        <w:t>. I</w:t>
      </w:r>
      <w:r w:rsidR="00CD6EE1">
        <w:t xml:space="preserve">n this contribution, we share our view on </w:t>
      </w:r>
      <w:r w:rsidR="00770A8C">
        <w:t xml:space="preserve">the extension method. </w:t>
      </w:r>
    </w:p>
    <w:p w:rsidR="004865E5" w:rsidRDefault="00C36E5F" w:rsidP="0034611F">
      <w:pPr>
        <w:pStyle w:val="Heading1"/>
        <w:rPr>
          <w:lang w:val="en-US"/>
        </w:rPr>
      </w:pPr>
      <w:r>
        <w:rPr>
          <w:lang w:val="en-US"/>
        </w:rPr>
        <w:t>Discussion</w:t>
      </w:r>
    </w:p>
    <w:p w:rsidR="00151B9B" w:rsidRDefault="00FE24A6" w:rsidP="004865E5">
      <w:pPr>
        <w:rPr>
          <w:lang w:val="en-US"/>
        </w:rPr>
      </w:pPr>
      <w:r>
        <w:rPr>
          <w:lang w:val="en-US"/>
        </w:rPr>
        <w:t>In</w:t>
      </w:r>
      <w:r w:rsidR="009F204B">
        <w:rPr>
          <w:lang w:val="en-US"/>
        </w:rPr>
        <w:t xml:space="preserve"> RF room</w:t>
      </w:r>
      <w:r w:rsidR="00297E83">
        <w:rPr>
          <w:lang w:val="en-US"/>
        </w:rPr>
        <w:t xml:space="preserve">, </w:t>
      </w:r>
      <w:r w:rsidR="00151B9B">
        <w:rPr>
          <w:lang w:val="en-US"/>
        </w:rPr>
        <w:t xml:space="preserve">the band and bandwidth combination associated with LAA </w:t>
      </w:r>
      <w:proofErr w:type="spellStart"/>
      <w:r w:rsidR="00151B9B">
        <w:rPr>
          <w:lang w:val="en-US"/>
        </w:rPr>
        <w:t>Scell</w:t>
      </w:r>
      <w:proofErr w:type="spellEnd"/>
      <w:r w:rsidR="00151B9B">
        <w:rPr>
          <w:lang w:val="en-US"/>
        </w:rPr>
        <w:t>(s) operation which have been defined in 36.101</w:t>
      </w:r>
      <w:r w:rsidR="000141EC">
        <w:rPr>
          <w:lang w:val="en-US"/>
        </w:rPr>
        <w:t xml:space="preserve">. </w:t>
      </w:r>
      <w:r w:rsidR="006300ED">
        <w:rPr>
          <w:lang w:val="en-US"/>
        </w:rPr>
        <w:t xml:space="preserve">The configurations can be summarized </w:t>
      </w:r>
      <w:r w:rsidR="00AD1D7A">
        <w:rPr>
          <w:lang w:val="en-US"/>
        </w:rPr>
        <w:t xml:space="preserve">in </w:t>
      </w:r>
      <w:r w:rsidR="001F1ACF">
        <w:rPr>
          <w:lang w:val="en-US"/>
        </w:rPr>
        <w:fldChar w:fldCharType="begin"/>
      </w:r>
      <w:r w:rsidR="001F1ACF">
        <w:rPr>
          <w:lang w:val="en-US"/>
        </w:rPr>
        <w:instrText xml:space="preserve"> REF _Ref465688365 \h </w:instrText>
      </w:r>
      <w:r w:rsidR="001F1ACF">
        <w:rPr>
          <w:lang w:val="en-US"/>
        </w:rPr>
      </w:r>
      <w:r w:rsidR="001F1ACF">
        <w:rPr>
          <w:lang w:val="en-US"/>
        </w:rPr>
        <w:fldChar w:fldCharType="separate"/>
      </w:r>
      <w:r w:rsidR="001F1ACF">
        <w:t xml:space="preserve">Table </w:t>
      </w:r>
      <w:r w:rsidR="001F1ACF">
        <w:rPr>
          <w:noProof/>
        </w:rPr>
        <w:t>1</w:t>
      </w:r>
      <w:r w:rsidR="001F1ACF">
        <w:rPr>
          <w:lang w:val="en-US"/>
        </w:rPr>
        <w:fldChar w:fldCharType="end"/>
      </w:r>
      <w:r w:rsidR="001F1ACF">
        <w:rPr>
          <w:lang w:val="en-US"/>
        </w:rPr>
        <w:t xml:space="preserve">. </w:t>
      </w:r>
      <w:r w:rsidR="005C7F6D">
        <w:rPr>
          <w:lang w:val="en-US"/>
        </w:rPr>
        <w:t xml:space="preserve">In </w:t>
      </w:r>
      <w:r w:rsidR="00E873C4">
        <w:rPr>
          <w:lang w:val="en-US"/>
        </w:rPr>
        <w:t>these</w:t>
      </w:r>
      <w:r w:rsidR="005C7F6D">
        <w:rPr>
          <w:lang w:val="en-US"/>
        </w:rPr>
        <w:t xml:space="preserve"> configurations, we can have multiple licensed carrier(s) and unlicensed carrier(s)</w:t>
      </w:r>
      <w:r w:rsidR="00E873C4">
        <w:rPr>
          <w:lang w:val="en-US"/>
        </w:rPr>
        <w:t xml:space="preserve">. </w:t>
      </w:r>
    </w:p>
    <w:p w:rsidR="002962D3" w:rsidRPr="004865E5" w:rsidRDefault="002962D3" w:rsidP="004865E5">
      <w:pPr>
        <w:rPr>
          <w:lang w:val="en-US"/>
        </w:rPr>
      </w:pPr>
    </w:p>
    <w:p w:rsidR="00AD1D7A" w:rsidRDefault="00AD1D7A" w:rsidP="00AD1D7A">
      <w:pPr>
        <w:pStyle w:val="Caption"/>
        <w:keepNext/>
      </w:pPr>
      <w:bookmarkStart w:id="4" w:name="_Ref465688365"/>
      <w:r>
        <w:t xml:space="preserve">Table </w:t>
      </w:r>
      <w:r>
        <w:fldChar w:fldCharType="begin"/>
      </w:r>
      <w:r>
        <w:instrText xml:space="preserve"> SEQ Table \* ARABIC </w:instrText>
      </w:r>
      <w:r>
        <w:fldChar w:fldCharType="separate"/>
      </w:r>
      <w:r w:rsidR="00A51FA7">
        <w:rPr>
          <w:noProof/>
        </w:rPr>
        <w:t>1</w:t>
      </w:r>
      <w:r>
        <w:fldChar w:fldCharType="end"/>
      </w:r>
      <w:bookmarkEnd w:id="4"/>
      <w:r>
        <w:t>: Configuration of number of license carrier</w:t>
      </w:r>
      <w:r w:rsidR="001F1ACF">
        <w:t>(s)</w:t>
      </w:r>
      <w:r>
        <w:t xml:space="preserve"> and unlicensed carrier</w:t>
      </w:r>
      <w:r w:rsidR="001F1ACF">
        <w:t>(s)</w:t>
      </w:r>
    </w:p>
    <w:tbl>
      <w:tblPr>
        <w:tblW w:w="7749" w:type="dxa"/>
        <w:tblInd w:w="889" w:type="dxa"/>
        <w:tblCellMar>
          <w:left w:w="0" w:type="dxa"/>
          <w:right w:w="0" w:type="dxa"/>
        </w:tblCellMar>
        <w:tblLook w:val="0420" w:firstRow="1" w:lastRow="0" w:firstColumn="0" w:lastColumn="0" w:noHBand="0" w:noVBand="1"/>
      </w:tblPr>
      <w:tblGrid>
        <w:gridCol w:w="1658"/>
        <w:gridCol w:w="1651"/>
        <w:gridCol w:w="1545"/>
        <w:gridCol w:w="2895"/>
      </w:tblGrid>
      <w:tr w:rsidR="004865E5" w:rsidRPr="004865E5" w:rsidTr="004865E5">
        <w:trPr>
          <w:trHeight w:val="362"/>
        </w:trPr>
        <w:tc>
          <w:tcPr>
            <w:tcW w:w="165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Number of total CCs</w:t>
            </w:r>
          </w:p>
        </w:tc>
        <w:tc>
          <w:tcPr>
            <w:tcW w:w="165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License carrier</w:t>
            </w:r>
          </w:p>
        </w:tc>
        <w:tc>
          <w:tcPr>
            <w:tcW w:w="15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Unlicensed carrier</w:t>
            </w:r>
          </w:p>
        </w:tc>
        <w:tc>
          <w:tcPr>
            <w:tcW w:w="289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Example</w:t>
            </w:r>
          </w:p>
        </w:tc>
      </w:tr>
      <w:tr w:rsidR="004865E5" w:rsidRPr="004865E5" w:rsidTr="004865E5">
        <w:trPr>
          <w:trHeight w:val="206"/>
        </w:trPr>
        <w:tc>
          <w:tcPr>
            <w:tcW w:w="1658"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5</w:t>
            </w:r>
          </w:p>
        </w:tc>
        <w:tc>
          <w:tcPr>
            <w:tcW w:w="165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1</w:t>
            </w:r>
          </w:p>
        </w:tc>
        <w:tc>
          <w:tcPr>
            <w:tcW w:w="154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4</w:t>
            </w:r>
          </w:p>
        </w:tc>
        <w:tc>
          <w:tcPr>
            <w:tcW w:w="289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CA_1A-46E</w:t>
            </w:r>
          </w:p>
        </w:tc>
      </w:tr>
      <w:tr w:rsidR="004865E5" w:rsidRPr="004865E5" w:rsidTr="004865E5">
        <w:trPr>
          <w:trHeight w:val="36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3</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CA_1A-7A-46D</w:t>
            </w:r>
          </w:p>
        </w:tc>
      </w:tr>
      <w:tr w:rsidR="004865E5" w:rsidRPr="004865E5" w:rsidTr="004865E5">
        <w:trPr>
          <w:trHeight w:val="36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3</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CA_1A-5A-7A-46C</w:t>
            </w:r>
          </w:p>
        </w:tc>
      </w:tr>
      <w:tr w:rsidR="004865E5" w:rsidRPr="004865E5" w:rsidTr="004865E5">
        <w:trPr>
          <w:trHeight w:val="20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4</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CA_40D-46A</w:t>
            </w:r>
          </w:p>
        </w:tc>
      </w:tr>
      <w:tr w:rsidR="008F34A6" w:rsidRPr="004865E5" w:rsidTr="00650754">
        <w:trPr>
          <w:trHeight w:val="209"/>
        </w:trPr>
        <w:tc>
          <w:tcPr>
            <w:tcW w:w="1658" w:type="dxa"/>
            <w:vMerge w:val="restart"/>
            <w:tcBorders>
              <w:top w:val="single" w:sz="8" w:space="0" w:color="FFFFFF"/>
              <w:left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4</w:t>
            </w: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lang w:val="en-US"/>
              </w:rPr>
              <w:t>3</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rFonts w:cs="Arial"/>
                <w:lang w:eastAsia="en-US"/>
              </w:rPr>
              <w:t xml:space="preserve">e.g. </w:t>
            </w:r>
            <w:r w:rsidRPr="003D01BB">
              <w:rPr>
                <w:rFonts w:cs="Arial"/>
                <w:lang w:eastAsia="en-US"/>
              </w:rPr>
              <w:t>CA_3A-46D</w:t>
            </w:r>
          </w:p>
        </w:tc>
      </w:tr>
      <w:tr w:rsidR="008F34A6" w:rsidRPr="004865E5" w:rsidTr="00650754">
        <w:trPr>
          <w:trHeight w:val="209"/>
        </w:trPr>
        <w:tc>
          <w:tcPr>
            <w:tcW w:w="1658" w:type="dxa"/>
            <w:vMerge/>
            <w:tcBorders>
              <w:left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e.g. CA_40C-46C</w:t>
            </w:r>
          </w:p>
        </w:tc>
      </w:tr>
      <w:tr w:rsidR="008F34A6" w:rsidRPr="004865E5" w:rsidTr="00650754">
        <w:trPr>
          <w:trHeight w:val="209"/>
        </w:trPr>
        <w:tc>
          <w:tcPr>
            <w:tcW w:w="1658" w:type="dxa"/>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Default="008F34A6" w:rsidP="008F34A6">
            <w:pPr>
              <w:jc w:val="center"/>
              <w:rPr>
                <w:lang w:val="en-US"/>
              </w:rPr>
            </w:pPr>
            <w:r>
              <w:rPr>
                <w:lang w:val="en-US"/>
              </w:rPr>
              <w:t>3</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Default="008F34A6" w:rsidP="008F34A6">
            <w:pPr>
              <w:jc w:val="center"/>
              <w:rPr>
                <w:lang w:val="en-US"/>
              </w:rPr>
            </w:pPr>
            <w:r>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3D01BB">
              <w:rPr>
                <w:rFonts w:cs="Arial"/>
                <w:lang w:eastAsia="en-US"/>
              </w:rPr>
              <w:t>CA_1A-</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A</w:t>
            </w:r>
          </w:p>
        </w:tc>
      </w:tr>
      <w:tr w:rsidR="008F34A6" w:rsidRPr="004865E5" w:rsidTr="00650754">
        <w:trPr>
          <w:trHeight w:val="209"/>
        </w:trPr>
        <w:tc>
          <w:tcPr>
            <w:tcW w:w="1658" w:type="dxa"/>
            <w:vMerge w:val="restart"/>
            <w:tcBorders>
              <w:top w:val="single" w:sz="8" w:space="0" w:color="FFFFFF"/>
              <w:left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3</w:t>
            </w: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t>e.g. CA_40C-46A</w:t>
            </w:r>
          </w:p>
        </w:tc>
      </w:tr>
      <w:tr w:rsidR="008F34A6" w:rsidRPr="004865E5" w:rsidTr="00650754">
        <w:trPr>
          <w:trHeight w:val="209"/>
        </w:trPr>
        <w:tc>
          <w:tcPr>
            <w:tcW w:w="1658" w:type="dxa"/>
            <w:vMerge/>
            <w:tcBorders>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r>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r>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pPr>
            <w:r w:rsidRPr="003D01BB">
              <w:rPr>
                <w:rFonts w:cs="Arial"/>
                <w:lang w:eastAsia="en-US"/>
              </w:rPr>
              <w:t>CA_3A-</w:t>
            </w:r>
            <w:r w:rsidRPr="003D01BB">
              <w:rPr>
                <w:rFonts w:cs="Arial" w:hint="eastAsia"/>
                <w:lang w:eastAsia="ja-JP"/>
              </w:rPr>
              <w:t>4</w:t>
            </w:r>
            <w:r w:rsidRPr="003D01BB">
              <w:rPr>
                <w:rFonts w:eastAsia="宋体" w:cs="Arial" w:hint="eastAsia"/>
              </w:rPr>
              <w:t>6</w:t>
            </w:r>
            <w:r w:rsidRPr="003D01BB">
              <w:rPr>
                <w:rFonts w:cs="Arial"/>
                <w:lang w:eastAsia="ja-JP"/>
              </w:rPr>
              <w:t>C</w:t>
            </w:r>
          </w:p>
        </w:tc>
      </w:tr>
      <w:tr w:rsidR="008F34A6" w:rsidRPr="004865E5" w:rsidTr="004865E5">
        <w:trPr>
          <w:trHeight w:val="5"/>
        </w:trPr>
        <w:tc>
          <w:tcPr>
            <w:tcW w:w="165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2</w:t>
            </w: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e.g. CA_40A-46A</w:t>
            </w:r>
          </w:p>
        </w:tc>
      </w:tr>
    </w:tbl>
    <w:p w:rsidR="004865E5" w:rsidRDefault="004865E5" w:rsidP="004865E5">
      <w:pPr>
        <w:rPr>
          <w:lang w:val="en-US"/>
        </w:rPr>
      </w:pPr>
    </w:p>
    <w:p w:rsidR="004865E5" w:rsidRDefault="008F3CDC" w:rsidP="004865E5">
      <w:pPr>
        <w:rPr>
          <w:lang w:val="en-US"/>
        </w:rPr>
      </w:pPr>
      <w:r>
        <w:rPr>
          <w:lang w:val="en-US"/>
        </w:rPr>
        <w:t>In RAN4#81 meeting, RAN4 group have two options for how to extend the performance requirements from 2CCs to more than 2CCs</w:t>
      </w:r>
      <w:r w:rsidR="00B722A5">
        <w:rPr>
          <w:lang w:val="en-US"/>
        </w:rPr>
        <w:t xml:space="preserve"> in </w:t>
      </w:r>
      <w:r w:rsidR="005C2896">
        <w:rPr>
          <w:lang w:val="en-US"/>
        </w:rPr>
        <w:fldChar w:fldCharType="begin"/>
      </w:r>
      <w:r w:rsidR="005C2896">
        <w:rPr>
          <w:lang w:val="en-US"/>
        </w:rPr>
        <w:instrText xml:space="preserve"> REF _Ref472955847 \r \h </w:instrText>
      </w:r>
      <w:r w:rsidR="005C2896">
        <w:rPr>
          <w:lang w:val="en-US"/>
        </w:rPr>
      </w:r>
      <w:r w:rsidR="005C2896">
        <w:rPr>
          <w:lang w:val="en-US"/>
        </w:rPr>
        <w:fldChar w:fldCharType="separate"/>
      </w:r>
      <w:r w:rsidR="005C2896">
        <w:rPr>
          <w:lang w:val="en-US"/>
        </w:rPr>
        <w:t>[1]</w:t>
      </w:r>
      <w:r w:rsidR="005C2896">
        <w:rPr>
          <w:lang w:val="en-US"/>
        </w:rPr>
        <w:fldChar w:fldCharType="end"/>
      </w:r>
      <w:r w:rsidR="009F107F">
        <w:rPr>
          <w:lang w:val="en-US"/>
        </w:rPr>
        <w:t>:</w:t>
      </w:r>
    </w:p>
    <w:p w:rsidR="005A01AB" w:rsidRPr="009F107F" w:rsidRDefault="005431F2" w:rsidP="009F107F">
      <w:pPr>
        <w:numPr>
          <w:ilvl w:val="0"/>
          <w:numId w:val="44"/>
        </w:numPr>
        <w:rPr>
          <w:i/>
          <w:highlight w:val="green"/>
          <w:lang w:val="en-US"/>
        </w:rPr>
      </w:pPr>
      <w:r w:rsidRPr="009F107F">
        <w:rPr>
          <w:i/>
          <w:highlight w:val="green"/>
          <w:lang w:val="en-US"/>
        </w:rPr>
        <w:lastRenderedPageBreak/>
        <w:t>Option 1: Performance requirements are defined for one CC in licensed band and multiple CCs in unlicensed band(s)</w:t>
      </w:r>
    </w:p>
    <w:p w:rsidR="005A01AB" w:rsidRPr="009F107F" w:rsidRDefault="005431F2" w:rsidP="009F107F">
      <w:pPr>
        <w:numPr>
          <w:ilvl w:val="1"/>
          <w:numId w:val="44"/>
        </w:numPr>
        <w:rPr>
          <w:i/>
          <w:highlight w:val="green"/>
          <w:lang w:val="en-US"/>
        </w:rPr>
      </w:pPr>
      <w:r w:rsidRPr="009F107F">
        <w:rPr>
          <w:i/>
          <w:highlight w:val="green"/>
          <w:lang w:val="en-US"/>
        </w:rPr>
        <w:t>LAA test will focus on verification of performance for detection of LBT burst, AGC, time and frequency tracking, and demodulation on partial sub-frames in both LAA single carrier and aggregation mode</w:t>
      </w:r>
    </w:p>
    <w:p w:rsidR="005A01AB" w:rsidRPr="009F107F" w:rsidRDefault="005431F2" w:rsidP="009F107F">
      <w:pPr>
        <w:numPr>
          <w:ilvl w:val="1"/>
          <w:numId w:val="44"/>
        </w:numPr>
        <w:rPr>
          <w:i/>
          <w:highlight w:val="green"/>
          <w:lang w:val="en-US"/>
        </w:rPr>
      </w:pPr>
      <w:r w:rsidRPr="009F107F">
        <w:rPr>
          <w:i/>
          <w:highlight w:val="green"/>
          <w:lang w:val="en-US"/>
        </w:rPr>
        <w:t>Performance of aggregated licensed CC can be verified by CA demodulation performance requirements.</w:t>
      </w:r>
    </w:p>
    <w:p w:rsidR="005A01AB" w:rsidRPr="009F107F" w:rsidRDefault="005431F2" w:rsidP="009F107F">
      <w:pPr>
        <w:numPr>
          <w:ilvl w:val="2"/>
          <w:numId w:val="44"/>
        </w:numPr>
        <w:rPr>
          <w:i/>
          <w:highlight w:val="green"/>
          <w:lang w:val="en-US"/>
        </w:rPr>
      </w:pPr>
      <w:r w:rsidRPr="009F107F">
        <w:rPr>
          <w:i/>
          <w:highlight w:val="green"/>
          <w:lang w:val="en-US"/>
        </w:rPr>
        <w:t>If following Option 2 in page 2, carrier aggregation performance verification on licensed CC will be duplicated</w:t>
      </w:r>
    </w:p>
    <w:p w:rsidR="005A01AB" w:rsidRPr="009F107F" w:rsidRDefault="005431F2" w:rsidP="009F107F">
      <w:pPr>
        <w:numPr>
          <w:ilvl w:val="2"/>
          <w:numId w:val="44"/>
        </w:numPr>
        <w:rPr>
          <w:i/>
          <w:highlight w:val="green"/>
          <w:lang w:val="en-US"/>
        </w:rPr>
      </w:pPr>
      <w:r w:rsidRPr="009F107F">
        <w:rPr>
          <w:i/>
          <w:highlight w:val="green"/>
          <w:lang w:val="en-US"/>
        </w:rPr>
        <w:t>If the largest aggregated bandwidth is achieved by CA configurations without LAA CC for the UE under test, the maximum receiving capability and performance can be verified by CA tests</w:t>
      </w:r>
    </w:p>
    <w:p w:rsidR="005A01AB" w:rsidRPr="009F107F" w:rsidRDefault="005431F2" w:rsidP="009F107F">
      <w:pPr>
        <w:numPr>
          <w:ilvl w:val="2"/>
          <w:numId w:val="44"/>
        </w:numPr>
        <w:rPr>
          <w:i/>
          <w:highlight w:val="green"/>
          <w:lang w:val="en-US"/>
        </w:rPr>
      </w:pPr>
      <w:r w:rsidRPr="009F107F">
        <w:rPr>
          <w:i/>
          <w:highlight w:val="green"/>
          <w:lang w:val="en-US"/>
        </w:rPr>
        <w:t>If the largest aggregation bandwidth is achieved by CA configurations with LAA CC for the UE under test, the maximum receiving capability can be verified by SDR tests</w:t>
      </w:r>
    </w:p>
    <w:p w:rsidR="009F107F" w:rsidRPr="009F107F" w:rsidRDefault="009F107F" w:rsidP="009F107F">
      <w:pPr>
        <w:rPr>
          <w:i/>
          <w:highlight w:val="green"/>
          <w:lang w:val="en-US"/>
        </w:rPr>
      </w:pPr>
    </w:p>
    <w:p w:rsidR="005A01AB" w:rsidRPr="009F107F" w:rsidRDefault="005431F2" w:rsidP="009F107F">
      <w:pPr>
        <w:numPr>
          <w:ilvl w:val="0"/>
          <w:numId w:val="44"/>
        </w:numPr>
        <w:rPr>
          <w:i/>
          <w:highlight w:val="green"/>
          <w:lang w:val="en-US"/>
        </w:rPr>
      </w:pPr>
      <w:r w:rsidRPr="009F107F">
        <w:rPr>
          <w:i/>
          <w:highlight w:val="green"/>
          <w:lang w:val="en-US"/>
        </w:rPr>
        <w:t xml:space="preserve">Option 2: Performance requirements are defined for multiple CCs in licensed band(s) and multiple CCs in unlicensed band(s). </w:t>
      </w:r>
    </w:p>
    <w:p w:rsidR="005A01AB" w:rsidRPr="009F107F" w:rsidRDefault="005431F2" w:rsidP="009F107F">
      <w:pPr>
        <w:numPr>
          <w:ilvl w:val="1"/>
          <w:numId w:val="44"/>
        </w:numPr>
        <w:rPr>
          <w:i/>
          <w:highlight w:val="green"/>
          <w:lang w:val="en-US"/>
        </w:rPr>
      </w:pPr>
      <w:r w:rsidRPr="009F107F">
        <w:rPr>
          <w:i/>
          <w:highlight w:val="green"/>
          <w:lang w:val="en-US"/>
        </w:rPr>
        <w:t xml:space="preserve">Test Applicability rule is defined as: </w:t>
      </w:r>
    </w:p>
    <w:p w:rsidR="005A01AB" w:rsidRPr="009F107F" w:rsidRDefault="005431F2" w:rsidP="009F107F">
      <w:pPr>
        <w:numPr>
          <w:ilvl w:val="2"/>
          <w:numId w:val="44"/>
        </w:numPr>
        <w:rPr>
          <w:i/>
          <w:highlight w:val="green"/>
          <w:lang w:val="en-US"/>
        </w:rPr>
      </w:pPr>
      <w:r w:rsidRPr="009F107F">
        <w:rPr>
          <w:i/>
          <w:highlight w:val="green"/>
        </w:rPr>
        <w:t xml:space="preserve">For each supported CA capability, if UE passes corresponding CA test with CA configuration that has the largest aggregated licensed CA bandwidth and unlicensed CA bandwidth combination selected from the configurations with largest aggregated unlicensed CA bandwidth combination, the test coverage for the configuration with LAA </w:t>
      </w:r>
      <w:proofErr w:type="spellStart"/>
      <w:r w:rsidRPr="009F107F">
        <w:rPr>
          <w:i/>
          <w:highlight w:val="green"/>
        </w:rPr>
        <w:t>Scell</w:t>
      </w:r>
      <w:proofErr w:type="spellEnd"/>
      <w:r w:rsidRPr="009F107F">
        <w:rPr>
          <w:i/>
          <w:highlight w:val="green"/>
        </w:rPr>
        <w:t>(s) can be considered fulfilled without executing</w:t>
      </w:r>
      <w:r w:rsidR="0062232D">
        <w:rPr>
          <w:i/>
          <w:highlight w:val="green"/>
        </w:rPr>
        <w:t xml:space="preserve"> any other </w:t>
      </w:r>
      <w:r w:rsidRPr="009F107F">
        <w:rPr>
          <w:i/>
          <w:highlight w:val="green"/>
        </w:rPr>
        <w:t>CA</w:t>
      </w:r>
      <w:r w:rsidR="0062232D">
        <w:rPr>
          <w:i/>
          <w:highlight w:val="green"/>
        </w:rPr>
        <w:t xml:space="preserve"> configuration supported by the UE </w:t>
      </w:r>
      <w:r w:rsidRPr="009F107F">
        <w:rPr>
          <w:i/>
          <w:highlight w:val="green"/>
        </w:rPr>
        <w:t xml:space="preserve">for LAA performance requirements. </w:t>
      </w:r>
    </w:p>
    <w:p w:rsidR="009F107F" w:rsidRDefault="009F107F" w:rsidP="004865E5">
      <w:pPr>
        <w:rPr>
          <w:lang w:val="en-US"/>
        </w:rPr>
      </w:pPr>
      <w:r>
        <w:rPr>
          <w:lang w:val="en-US"/>
        </w:rPr>
        <w:t xml:space="preserve">But there is no consensus on which option is used as the final method for the multiple CCs extension. </w:t>
      </w:r>
    </w:p>
    <w:p w:rsidR="00650754" w:rsidRDefault="00650754" w:rsidP="009C6FD7">
      <w:pPr>
        <w:rPr>
          <w:lang w:val="en-US"/>
        </w:rPr>
      </w:pPr>
      <w:r>
        <w:rPr>
          <w:lang w:val="en-US"/>
        </w:rPr>
        <w:t>If option 1 is choose for the performance requirements, the UE CA test applicability can be defined as:</w:t>
      </w:r>
    </w:p>
    <w:p w:rsidR="00650754" w:rsidRPr="00F34E82" w:rsidRDefault="00650754" w:rsidP="00F34E82">
      <w:pPr>
        <w:ind w:left="720"/>
        <w:rPr>
          <w:i/>
          <w:snapToGrid w:val="0"/>
        </w:rPr>
      </w:pPr>
      <w:r w:rsidRPr="00F34E82">
        <w:rPr>
          <w:i/>
          <w:snapToGrid w:val="0"/>
        </w:rPr>
        <w:t>For each supported CA capability, if UE passes corresponding CA test with the CA configuration</w:t>
      </w:r>
      <w:r w:rsidR="00C164F0" w:rsidRPr="00F34E82">
        <w:rPr>
          <w:i/>
          <w:snapToGrid w:val="0"/>
        </w:rPr>
        <w:t xml:space="preserve"> </w:t>
      </w:r>
      <w:r w:rsidRPr="00F34E82">
        <w:rPr>
          <w:i/>
          <w:snapToGrid w:val="0"/>
        </w:rPr>
        <w:t>which is with largest aggregated unlicensed CA bandwidth</w:t>
      </w:r>
      <w:r w:rsidR="00C164F0" w:rsidRPr="00F34E82">
        <w:rPr>
          <w:i/>
          <w:snapToGrid w:val="0"/>
        </w:rPr>
        <w:t xml:space="preserve"> and with one licensed component carrier, the test coverage for</w:t>
      </w:r>
      <w:r w:rsidR="00764D3D">
        <w:rPr>
          <w:i/>
          <w:snapToGrid w:val="0"/>
        </w:rPr>
        <w:t xml:space="preserve"> the configuration with </w:t>
      </w:r>
      <w:r w:rsidR="00C164F0" w:rsidRPr="00F34E82">
        <w:rPr>
          <w:i/>
          <w:snapToGrid w:val="0"/>
        </w:rPr>
        <w:t xml:space="preserve">LAA </w:t>
      </w:r>
      <w:proofErr w:type="spellStart"/>
      <w:r w:rsidR="00C164F0" w:rsidRPr="00F34E82">
        <w:rPr>
          <w:i/>
          <w:snapToGrid w:val="0"/>
        </w:rPr>
        <w:t>Scell</w:t>
      </w:r>
      <w:proofErr w:type="spellEnd"/>
      <w:r w:rsidR="00764D3D">
        <w:rPr>
          <w:i/>
          <w:snapToGrid w:val="0"/>
        </w:rPr>
        <w:t>(s)</w:t>
      </w:r>
      <w:r w:rsidR="00C164F0" w:rsidRPr="00F34E82">
        <w:rPr>
          <w:i/>
          <w:snapToGrid w:val="0"/>
        </w:rPr>
        <w:t xml:space="preserve"> can be considered fulfilled without executing any other CA configuration supported by the UE.</w:t>
      </w:r>
    </w:p>
    <w:p w:rsidR="00650754" w:rsidRPr="009C6FD7" w:rsidRDefault="00F34E82" w:rsidP="009C6FD7">
      <w:pPr>
        <w:rPr>
          <w:lang w:val="en-US"/>
        </w:rPr>
      </w:pPr>
      <w:r>
        <w:t>Assumed the UE support</w:t>
      </w:r>
      <w:r w:rsidR="003C4C2E">
        <w:t>s</w:t>
      </w:r>
      <w:r>
        <w:t xml:space="preserve"> the configurations as shown in </w:t>
      </w:r>
      <w:r>
        <w:fldChar w:fldCharType="begin"/>
      </w:r>
      <w:r>
        <w:instrText xml:space="preserve"> REF _Ref465690851 \h </w:instrText>
      </w:r>
      <w:r>
        <w:fldChar w:fldCharType="separate"/>
      </w:r>
      <w:r>
        <w:t xml:space="preserve">Table </w:t>
      </w:r>
      <w:r>
        <w:rPr>
          <w:noProof/>
        </w:rPr>
        <w:t>2</w:t>
      </w:r>
      <w:r>
        <w:fldChar w:fldCharType="end"/>
      </w:r>
      <w:r>
        <w:t xml:space="preserve">, </w:t>
      </w:r>
      <w:r w:rsidR="003C4C2E">
        <w:t>five CA configurations can be supported for a UE. In the configuration 1, it consi</w:t>
      </w:r>
      <w:r w:rsidR="007630B0">
        <w:t>sts one licensed carrier and two</w:t>
      </w:r>
      <w:r w:rsidR="003C4C2E">
        <w:t xml:space="preserve"> unlicensed </w:t>
      </w:r>
      <w:proofErr w:type="gramStart"/>
      <w:r w:rsidR="003C4C2E">
        <w:t>carrier</w:t>
      </w:r>
      <w:proofErr w:type="gramEnd"/>
      <w:r w:rsidR="003C4C2E">
        <w:t xml:space="preserve">. </w:t>
      </w:r>
      <w:r w:rsidR="004D48D9">
        <w:t xml:space="preserve">In the configuration </w:t>
      </w:r>
      <w:r w:rsidR="00FC04DD">
        <w:t xml:space="preserve">2, it consists two licensed carriers and two unlicensed carriers, etc. </w:t>
      </w:r>
      <w:r w:rsidR="00D600B4">
        <w:t xml:space="preserve">Based on this applicability rule, if UE passes the requirements based </w:t>
      </w:r>
      <w:r w:rsidR="00D600B4" w:rsidRPr="00BE3C79">
        <w:t xml:space="preserve">on </w:t>
      </w:r>
      <w:r w:rsidR="00FE2D7B" w:rsidRPr="00FE2D7B">
        <w:rPr>
          <w:b/>
        </w:rPr>
        <w:t>C</w:t>
      </w:r>
      <w:r w:rsidR="00D600B4" w:rsidRPr="00BE3C79">
        <w:rPr>
          <w:b/>
        </w:rPr>
        <w:t xml:space="preserve">onfiguration </w:t>
      </w:r>
      <w:r w:rsidR="0009236C" w:rsidRPr="00BE3C79">
        <w:rPr>
          <w:b/>
        </w:rPr>
        <w:t>1</w:t>
      </w:r>
      <w:r w:rsidR="0009236C">
        <w:t>, the UE can claim it fulfils the test coverage for</w:t>
      </w:r>
      <w:r w:rsidR="00942BB5">
        <w:t xml:space="preserve"> the configuration with </w:t>
      </w:r>
      <w:r w:rsidR="0009236C">
        <w:t xml:space="preserve">LAA </w:t>
      </w:r>
      <w:proofErr w:type="spellStart"/>
      <w:r w:rsidR="0009236C">
        <w:t>Scell</w:t>
      </w:r>
      <w:proofErr w:type="spellEnd"/>
      <w:r w:rsidR="00942BB5">
        <w:t>(s)</w:t>
      </w:r>
      <w:r w:rsidR="0009236C">
        <w:t xml:space="preserve">. </w:t>
      </w:r>
    </w:p>
    <w:p w:rsidR="001E0BA3" w:rsidRDefault="001E0BA3" w:rsidP="001E0BA3">
      <w:pPr>
        <w:pStyle w:val="Caption"/>
        <w:keepNext/>
      </w:pPr>
      <w:bookmarkStart w:id="5" w:name="_Ref465690851"/>
      <w:r>
        <w:t xml:space="preserve">Table </w:t>
      </w:r>
      <w:r>
        <w:fldChar w:fldCharType="begin"/>
      </w:r>
      <w:r>
        <w:instrText xml:space="preserve"> SEQ Table \* ARABIC </w:instrText>
      </w:r>
      <w:r>
        <w:fldChar w:fldCharType="separate"/>
      </w:r>
      <w:r w:rsidR="00A51FA7">
        <w:rPr>
          <w:noProof/>
        </w:rPr>
        <w:t>2</w:t>
      </w:r>
      <w:r>
        <w:fldChar w:fldCharType="end"/>
      </w:r>
      <w:bookmarkEnd w:id="5"/>
      <w:r>
        <w:t xml:space="preserve">: Assumed possible combination of licensed carrier and unlicensed carrier(s) </w:t>
      </w:r>
      <w:r w:rsidR="00743270">
        <w:t>for one UE</w:t>
      </w:r>
    </w:p>
    <w:tbl>
      <w:tblPr>
        <w:tblStyle w:val="TableGrid"/>
        <w:tblW w:w="0" w:type="auto"/>
        <w:jc w:val="center"/>
        <w:tblLook w:val="04A0" w:firstRow="1" w:lastRow="0" w:firstColumn="1" w:lastColumn="0" w:noHBand="0" w:noVBand="1"/>
      </w:tblPr>
      <w:tblGrid>
        <w:gridCol w:w="2245"/>
        <w:gridCol w:w="2245"/>
        <w:gridCol w:w="2245"/>
      </w:tblGrid>
      <w:tr w:rsidR="009C6FD7" w:rsidTr="00CA4D7E">
        <w:trPr>
          <w:trHeight w:val="370"/>
          <w:jc w:val="center"/>
        </w:trPr>
        <w:tc>
          <w:tcPr>
            <w:tcW w:w="2245" w:type="dxa"/>
          </w:tcPr>
          <w:p w:rsidR="009C6FD7" w:rsidRDefault="009C6FD7" w:rsidP="00CA4D7E">
            <w:pPr>
              <w:jc w:val="center"/>
            </w:pPr>
          </w:p>
        </w:tc>
        <w:tc>
          <w:tcPr>
            <w:tcW w:w="2245" w:type="dxa"/>
          </w:tcPr>
          <w:p w:rsidR="009C6FD7" w:rsidRDefault="009C6FD7" w:rsidP="00CA4D7E">
            <w:pPr>
              <w:jc w:val="center"/>
            </w:pPr>
            <w:r>
              <w:t># of Licensed carrier</w:t>
            </w:r>
          </w:p>
        </w:tc>
        <w:tc>
          <w:tcPr>
            <w:tcW w:w="2245" w:type="dxa"/>
          </w:tcPr>
          <w:p w:rsidR="009C6FD7" w:rsidRDefault="009C6FD7" w:rsidP="00CA4D7E">
            <w:pPr>
              <w:jc w:val="center"/>
            </w:pPr>
            <w:r>
              <w:t># of Unlicensed carrier</w:t>
            </w:r>
          </w:p>
        </w:tc>
      </w:tr>
      <w:tr w:rsidR="009C6FD7" w:rsidTr="00CA4D7E">
        <w:trPr>
          <w:trHeight w:val="355"/>
          <w:jc w:val="center"/>
        </w:trPr>
        <w:tc>
          <w:tcPr>
            <w:tcW w:w="2245" w:type="dxa"/>
          </w:tcPr>
          <w:p w:rsidR="009C6FD7" w:rsidRDefault="009C6FD7" w:rsidP="00CA4D7E">
            <w:pPr>
              <w:jc w:val="center"/>
            </w:pPr>
            <w:r>
              <w:t>Configuration 1</w:t>
            </w:r>
          </w:p>
        </w:tc>
        <w:tc>
          <w:tcPr>
            <w:tcW w:w="2245" w:type="dxa"/>
          </w:tcPr>
          <w:p w:rsidR="009C6FD7" w:rsidRDefault="009C6FD7" w:rsidP="00CA4D7E">
            <w:pPr>
              <w:jc w:val="center"/>
            </w:pPr>
            <w:r>
              <w:t>1</w:t>
            </w:r>
          </w:p>
        </w:tc>
        <w:tc>
          <w:tcPr>
            <w:tcW w:w="2245" w:type="dxa"/>
          </w:tcPr>
          <w:p w:rsidR="009C6FD7" w:rsidRDefault="009C6FD7" w:rsidP="00CA4D7E">
            <w:pPr>
              <w:jc w:val="center"/>
            </w:pPr>
            <w:r>
              <w:t>2</w:t>
            </w:r>
          </w:p>
        </w:tc>
      </w:tr>
      <w:tr w:rsidR="009C6FD7" w:rsidTr="00CA4D7E">
        <w:trPr>
          <w:trHeight w:val="370"/>
          <w:jc w:val="center"/>
        </w:trPr>
        <w:tc>
          <w:tcPr>
            <w:tcW w:w="2245" w:type="dxa"/>
          </w:tcPr>
          <w:p w:rsidR="009C6FD7" w:rsidRDefault="009C6FD7" w:rsidP="00CA4D7E">
            <w:pPr>
              <w:jc w:val="center"/>
            </w:pPr>
            <w:r>
              <w:t>Configuration 2</w:t>
            </w:r>
          </w:p>
        </w:tc>
        <w:tc>
          <w:tcPr>
            <w:tcW w:w="2245" w:type="dxa"/>
          </w:tcPr>
          <w:p w:rsidR="009C6FD7" w:rsidRDefault="009C6FD7" w:rsidP="00CA4D7E">
            <w:pPr>
              <w:jc w:val="center"/>
            </w:pPr>
            <w:r>
              <w:t>2</w:t>
            </w:r>
          </w:p>
        </w:tc>
        <w:tc>
          <w:tcPr>
            <w:tcW w:w="2245" w:type="dxa"/>
          </w:tcPr>
          <w:p w:rsidR="009C6FD7" w:rsidRDefault="009C6FD7" w:rsidP="00CA4D7E">
            <w:pPr>
              <w:jc w:val="center"/>
            </w:pPr>
            <w:r>
              <w:t>2</w:t>
            </w:r>
          </w:p>
        </w:tc>
      </w:tr>
      <w:tr w:rsidR="00492E49" w:rsidTr="00CA4D7E">
        <w:trPr>
          <w:trHeight w:val="355"/>
          <w:jc w:val="center"/>
        </w:trPr>
        <w:tc>
          <w:tcPr>
            <w:tcW w:w="2245" w:type="dxa"/>
          </w:tcPr>
          <w:p w:rsidR="00492E49" w:rsidRDefault="00492E49" w:rsidP="00CA4D7E">
            <w:pPr>
              <w:jc w:val="center"/>
            </w:pPr>
            <w:r>
              <w:t>Configuration 3</w:t>
            </w:r>
          </w:p>
        </w:tc>
        <w:tc>
          <w:tcPr>
            <w:tcW w:w="2245" w:type="dxa"/>
          </w:tcPr>
          <w:p w:rsidR="00492E49" w:rsidRDefault="00492E49" w:rsidP="00CA4D7E">
            <w:pPr>
              <w:jc w:val="center"/>
            </w:pPr>
            <w:r>
              <w:t>3</w:t>
            </w:r>
          </w:p>
        </w:tc>
        <w:tc>
          <w:tcPr>
            <w:tcW w:w="2245" w:type="dxa"/>
          </w:tcPr>
          <w:p w:rsidR="00492E49" w:rsidRDefault="00492E49" w:rsidP="00CA4D7E">
            <w:pPr>
              <w:jc w:val="center"/>
            </w:pPr>
            <w:r>
              <w:t>2</w:t>
            </w:r>
          </w:p>
        </w:tc>
      </w:tr>
      <w:tr w:rsidR="00CA4D7E" w:rsidTr="00CA4D7E">
        <w:trPr>
          <w:trHeight w:val="370"/>
          <w:jc w:val="center"/>
        </w:trPr>
        <w:tc>
          <w:tcPr>
            <w:tcW w:w="2245" w:type="dxa"/>
          </w:tcPr>
          <w:p w:rsidR="00CA4D7E" w:rsidRPr="00721E0D" w:rsidRDefault="00CA4D7E" w:rsidP="00CA4D7E">
            <w:pPr>
              <w:jc w:val="center"/>
              <w:rPr>
                <w:rFonts w:eastAsiaTheme="minorEastAsia"/>
              </w:rPr>
            </w:pPr>
            <w:r>
              <w:rPr>
                <w:rFonts w:eastAsiaTheme="minorEastAsia" w:hint="eastAsia"/>
              </w:rPr>
              <w:t xml:space="preserve">Configuration </w:t>
            </w:r>
            <w:r w:rsidR="00F34E82">
              <w:rPr>
                <w:rFonts w:eastAsiaTheme="minorEastAsia"/>
              </w:rPr>
              <w:t>4</w:t>
            </w:r>
          </w:p>
        </w:tc>
        <w:tc>
          <w:tcPr>
            <w:tcW w:w="2245" w:type="dxa"/>
          </w:tcPr>
          <w:p w:rsidR="00CA4D7E" w:rsidRDefault="00CA4D7E" w:rsidP="00CA4D7E">
            <w:pPr>
              <w:jc w:val="center"/>
            </w:pPr>
            <w:r>
              <w:t>4</w:t>
            </w:r>
          </w:p>
        </w:tc>
        <w:tc>
          <w:tcPr>
            <w:tcW w:w="2245" w:type="dxa"/>
          </w:tcPr>
          <w:p w:rsidR="00CA4D7E" w:rsidRDefault="00CA4D7E" w:rsidP="00CA4D7E">
            <w:pPr>
              <w:jc w:val="center"/>
            </w:pPr>
            <w:r>
              <w:t>1</w:t>
            </w:r>
          </w:p>
        </w:tc>
      </w:tr>
      <w:tr w:rsidR="00CA4D7E" w:rsidTr="00CA4D7E">
        <w:trPr>
          <w:trHeight w:val="355"/>
          <w:jc w:val="center"/>
        </w:trPr>
        <w:tc>
          <w:tcPr>
            <w:tcW w:w="2245" w:type="dxa"/>
          </w:tcPr>
          <w:p w:rsidR="00CA4D7E" w:rsidRDefault="00CA4D7E" w:rsidP="00CA4D7E">
            <w:pPr>
              <w:jc w:val="center"/>
            </w:pPr>
            <w:r>
              <w:t xml:space="preserve">Configuration </w:t>
            </w:r>
            <w:r w:rsidR="00F34E82">
              <w:t>5</w:t>
            </w:r>
          </w:p>
        </w:tc>
        <w:tc>
          <w:tcPr>
            <w:tcW w:w="2245" w:type="dxa"/>
          </w:tcPr>
          <w:p w:rsidR="00CA4D7E" w:rsidRDefault="00CA4D7E" w:rsidP="00CA4D7E">
            <w:pPr>
              <w:jc w:val="center"/>
            </w:pPr>
            <w:r>
              <w:t>5</w:t>
            </w:r>
          </w:p>
        </w:tc>
        <w:tc>
          <w:tcPr>
            <w:tcW w:w="2245" w:type="dxa"/>
          </w:tcPr>
          <w:p w:rsidR="00CA4D7E" w:rsidRDefault="00CA4D7E" w:rsidP="00CA4D7E">
            <w:pPr>
              <w:jc w:val="center"/>
            </w:pPr>
            <w:r>
              <w:t>0</w:t>
            </w:r>
          </w:p>
        </w:tc>
      </w:tr>
    </w:tbl>
    <w:p w:rsidR="00B03F28" w:rsidRDefault="00B03F28" w:rsidP="00B03F28">
      <w:pPr>
        <w:rPr>
          <w:lang w:val="en-US"/>
        </w:rPr>
      </w:pPr>
    </w:p>
    <w:p w:rsidR="00211D70" w:rsidRPr="00211D70" w:rsidRDefault="00211D70" w:rsidP="00B03F28">
      <w:pPr>
        <w:rPr>
          <w:snapToGrid w:val="0"/>
        </w:rPr>
      </w:pPr>
      <w:r w:rsidRPr="00211D70">
        <w:rPr>
          <w:snapToGrid w:val="0"/>
        </w:rPr>
        <w:t xml:space="preserve">If </w:t>
      </w:r>
      <w:r>
        <w:rPr>
          <w:snapToGrid w:val="0"/>
        </w:rPr>
        <w:t>option 2 is choose for the performance requirements, the UE CA test applicability can be defined as:</w:t>
      </w:r>
    </w:p>
    <w:p w:rsidR="00B03F28" w:rsidRPr="00211D70" w:rsidRDefault="00B03F28" w:rsidP="00211D70">
      <w:pPr>
        <w:ind w:left="720"/>
        <w:rPr>
          <w:i/>
          <w:snapToGrid w:val="0"/>
        </w:rPr>
      </w:pPr>
      <w:r w:rsidRPr="00211D70">
        <w:rPr>
          <w:i/>
          <w:snapToGrid w:val="0"/>
        </w:rPr>
        <w:lastRenderedPageBreak/>
        <w:t xml:space="preserve">For each supported CA capability, </w:t>
      </w:r>
      <w:r w:rsidR="00053B0B" w:rsidRPr="00211D70">
        <w:rPr>
          <w:i/>
          <w:snapToGrid w:val="0"/>
        </w:rPr>
        <w:t>if UE pass</w:t>
      </w:r>
      <w:r w:rsidR="00833B93" w:rsidRPr="00211D70">
        <w:rPr>
          <w:i/>
          <w:snapToGrid w:val="0"/>
        </w:rPr>
        <w:t>es</w:t>
      </w:r>
      <w:r w:rsidR="00053B0B" w:rsidRPr="00211D70">
        <w:rPr>
          <w:i/>
          <w:snapToGrid w:val="0"/>
        </w:rPr>
        <w:t xml:space="preserve"> </w:t>
      </w:r>
      <w:r w:rsidRPr="00211D70">
        <w:rPr>
          <w:i/>
          <w:snapToGrid w:val="0"/>
        </w:rPr>
        <w:t xml:space="preserve">corresponding CA test with the CA configuration </w:t>
      </w:r>
      <w:r w:rsidR="002218FE" w:rsidRPr="00211D70">
        <w:rPr>
          <w:i/>
          <w:snapToGrid w:val="0"/>
        </w:rPr>
        <w:t xml:space="preserve">which is </w:t>
      </w:r>
      <w:r w:rsidR="00BB5D24" w:rsidRPr="00211D70">
        <w:rPr>
          <w:i/>
          <w:snapToGrid w:val="0"/>
        </w:rPr>
        <w:t>with largest aggregated unlicensed CA bandwidth and licensed CA bandwidth combination within the CA configurations</w:t>
      </w:r>
      <w:r w:rsidR="00481364">
        <w:rPr>
          <w:i/>
          <w:snapToGrid w:val="0"/>
        </w:rPr>
        <w:t xml:space="preserve"> selected </w:t>
      </w:r>
      <w:r w:rsidR="002218FE" w:rsidRPr="00211D70">
        <w:rPr>
          <w:i/>
          <w:snapToGrid w:val="0"/>
        </w:rPr>
        <w:t xml:space="preserve">from the configurations </w:t>
      </w:r>
      <w:r w:rsidR="002218FE" w:rsidRPr="00211D70">
        <w:rPr>
          <w:rFonts w:cs="Arial"/>
          <w:i/>
          <w:lang w:eastAsia="en-US"/>
        </w:rPr>
        <w:t>with largest aggregated unlicensed CA bandwidth combination</w:t>
      </w:r>
      <w:r w:rsidRPr="00211D70">
        <w:rPr>
          <w:i/>
          <w:snapToGrid w:val="0"/>
        </w:rPr>
        <w:t>, the test coverage</w:t>
      </w:r>
      <w:r w:rsidR="00481364">
        <w:rPr>
          <w:i/>
          <w:snapToGrid w:val="0"/>
        </w:rPr>
        <w:t xml:space="preserve"> for</w:t>
      </w:r>
      <w:r w:rsidR="00E33CB9">
        <w:rPr>
          <w:i/>
          <w:snapToGrid w:val="0"/>
        </w:rPr>
        <w:t xml:space="preserve"> the configuration with </w:t>
      </w:r>
      <w:r w:rsidR="00481364">
        <w:rPr>
          <w:i/>
          <w:snapToGrid w:val="0"/>
        </w:rPr>
        <w:t xml:space="preserve">LAA </w:t>
      </w:r>
      <w:proofErr w:type="spellStart"/>
      <w:r w:rsidR="00481364">
        <w:rPr>
          <w:i/>
          <w:snapToGrid w:val="0"/>
        </w:rPr>
        <w:t>Scell</w:t>
      </w:r>
      <w:proofErr w:type="spellEnd"/>
      <w:r w:rsidR="00481364">
        <w:rPr>
          <w:i/>
          <w:snapToGrid w:val="0"/>
        </w:rPr>
        <w:t>(s)</w:t>
      </w:r>
      <w:r w:rsidRPr="00211D70">
        <w:rPr>
          <w:i/>
          <w:snapToGrid w:val="0"/>
        </w:rPr>
        <w:t xml:space="preserve"> can be considered fulfilled without executing </w:t>
      </w:r>
      <w:r w:rsidR="00F3217D">
        <w:rPr>
          <w:i/>
          <w:snapToGrid w:val="0"/>
        </w:rPr>
        <w:t xml:space="preserve">any other </w:t>
      </w:r>
      <w:r w:rsidRPr="00211D70">
        <w:rPr>
          <w:i/>
          <w:snapToGrid w:val="0"/>
        </w:rPr>
        <w:t xml:space="preserve">CA </w:t>
      </w:r>
      <w:r w:rsidR="00F3217D">
        <w:rPr>
          <w:i/>
          <w:snapToGrid w:val="0"/>
        </w:rPr>
        <w:t xml:space="preserve">configuration supported by the UE </w:t>
      </w:r>
      <w:r w:rsidR="00262747">
        <w:rPr>
          <w:i/>
          <w:snapToGrid w:val="0"/>
        </w:rPr>
        <w:t>for LAA performance requirements</w:t>
      </w:r>
      <w:r w:rsidRPr="00211D70">
        <w:rPr>
          <w:i/>
          <w:snapToGrid w:val="0"/>
        </w:rPr>
        <w:t xml:space="preserve">. </w:t>
      </w:r>
    </w:p>
    <w:p w:rsidR="00BE3C79" w:rsidRDefault="00BE3C79" w:rsidP="00650754">
      <w:pPr>
        <w:rPr>
          <w:lang w:val="en-US"/>
        </w:rPr>
      </w:pPr>
      <w:r>
        <w:rPr>
          <w:lang w:val="en-US"/>
        </w:rPr>
        <w:t>Based on this applicability, we have two steps:</w:t>
      </w:r>
    </w:p>
    <w:p w:rsidR="00BE3C79" w:rsidRDefault="00BE3C79" w:rsidP="00650754">
      <w:pPr>
        <w:rPr>
          <w:lang w:val="en-US"/>
        </w:rPr>
      </w:pPr>
      <w:r w:rsidRPr="00BE3C79">
        <w:rPr>
          <w:b/>
          <w:lang w:val="en-US"/>
        </w:rPr>
        <w:t xml:space="preserve">Step 1: </w:t>
      </w:r>
      <w:r w:rsidRPr="00BE3C79">
        <w:rPr>
          <w:lang w:val="en-US"/>
        </w:rPr>
        <w:t xml:space="preserve">From all </w:t>
      </w:r>
      <w:r>
        <w:rPr>
          <w:lang w:val="en-US"/>
        </w:rPr>
        <w:t xml:space="preserve">CA configurations, selecting the CA configurations with the largest aggregated unlicensed CA bandwidth combination. </w:t>
      </w:r>
    </w:p>
    <w:p w:rsidR="00BE3C79" w:rsidRDefault="00BE3C79" w:rsidP="00650754">
      <w:pPr>
        <w:rPr>
          <w:lang w:val="en-US"/>
        </w:rPr>
      </w:pPr>
      <w:r w:rsidRPr="00BE3C79">
        <w:rPr>
          <w:b/>
          <w:lang w:val="en-US"/>
        </w:rPr>
        <w:t>Step 2</w:t>
      </w:r>
      <w:r>
        <w:rPr>
          <w:lang w:val="en-US"/>
        </w:rPr>
        <w:t xml:space="preserve">: From the selected CA configurations in step 1, choosing one CA configuration </w:t>
      </w:r>
      <w:r w:rsidR="00B7246E">
        <w:rPr>
          <w:lang w:val="en-US"/>
        </w:rPr>
        <w:t xml:space="preserve">with </w:t>
      </w:r>
      <w:r w:rsidR="00B7246E" w:rsidRPr="00B7246E">
        <w:rPr>
          <w:lang w:val="en-US"/>
        </w:rPr>
        <w:t>largest aggregated unlicensed C</w:t>
      </w:r>
      <w:r w:rsidR="00F86617">
        <w:rPr>
          <w:lang w:val="en-US"/>
        </w:rPr>
        <w:t xml:space="preserve">A bandwidth and </w:t>
      </w:r>
      <w:r w:rsidR="00B7246E" w:rsidRPr="00B7246E">
        <w:rPr>
          <w:lang w:val="en-US"/>
        </w:rPr>
        <w:t>licensed CA bandwidth combination</w:t>
      </w:r>
    </w:p>
    <w:p w:rsidR="001813B9" w:rsidRDefault="001813B9" w:rsidP="00650754">
      <w:pPr>
        <w:rPr>
          <w:lang w:val="en-US"/>
        </w:rPr>
      </w:pPr>
      <w:r w:rsidRPr="001813B9">
        <w:rPr>
          <w:lang w:val="en-US"/>
        </w:rPr>
        <w:t xml:space="preserve">Assumed </w:t>
      </w:r>
      <w:r w:rsidR="00E30DAF">
        <w:rPr>
          <w:lang w:val="en-US"/>
        </w:rPr>
        <w:t xml:space="preserve">the UE supports the configuration as shown in </w:t>
      </w:r>
      <w:r w:rsidR="00E30DAF">
        <w:rPr>
          <w:lang w:val="en-US"/>
        </w:rPr>
        <w:fldChar w:fldCharType="begin"/>
      </w:r>
      <w:r w:rsidR="00E30DAF">
        <w:rPr>
          <w:lang w:val="en-US"/>
        </w:rPr>
        <w:instrText xml:space="preserve"> REF _Ref465690851 \h </w:instrText>
      </w:r>
      <w:r w:rsidR="00E30DAF">
        <w:rPr>
          <w:lang w:val="en-US"/>
        </w:rPr>
      </w:r>
      <w:r w:rsidR="00E30DAF">
        <w:rPr>
          <w:lang w:val="en-US"/>
        </w:rPr>
        <w:fldChar w:fldCharType="separate"/>
      </w:r>
      <w:r w:rsidR="00E30DAF">
        <w:t xml:space="preserve">Table </w:t>
      </w:r>
      <w:r w:rsidR="00E30DAF">
        <w:rPr>
          <w:noProof/>
        </w:rPr>
        <w:t>2</w:t>
      </w:r>
      <w:r w:rsidR="00E30DAF">
        <w:rPr>
          <w:lang w:val="en-US"/>
        </w:rPr>
        <w:fldChar w:fldCharType="end"/>
      </w:r>
      <w:r w:rsidR="00E30DAF">
        <w:rPr>
          <w:lang w:val="en-US"/>
        </w:rPr>
        <w:t xml:space="preserve">, according to the first step, configuration 1, configuration 2, and </w:t>
      </w:r>
      <w:r w:rsidR="00C66D35" w:rsidRPr="0095289D">
        <w:rPr>
          <w:lang w:val="en-US"/>
        </w:rPr>
        <w:t>C</w:t>
      </w:r>
      <w:r w:rsidR="00E30DAF" w:rsidRPr="0095289D">
        <w:rPr>
          <w:lang w:val="en-US"/>
        </w:rPr>
        <w:t>onfiguration 3</w:t>
      </w:r>
      <w:r w:rsidR="00E30DAF">
        <w:rPr>
          <w:lang w:val="en-US"/>
        </w:rPr>
        <w:t xml:space="preserve"> will be selected, since the number of unlicensed CCs of them are 2 which is the largest number for the unlicensed carriers among all the configurations. According to step 2. </w:t>
      </w:r>
      <w:r w:rsidR="003C154D">
        <w:rPr>
          <w:lang w:val="en-US"/>
        </w:rPr>
        <w:t xml:space="preserve">Configuration 3 will be further selected as the final CA configuration for the test, since the number of aggregated licensed CCs and unlicensed CCs of configuration 3 is 5, while the number of aggregated licensed and unlicensed CCs of configuration 1 and 2 are 3 and 4, </w:t>
      </w:r>
      <w:r w:rsidR="00A06516">
        <w:rPr>
          <w:lang w:val="en-US"/>
        </w:rPr>
        <w:t xml:space="preserve">respectively. Obviously, the number of aggregated licensed CCs and unlicensed CCs of configuration </w:t>
      </w:r>
      <w:r w:rsidR="005772DF">
        <w:rPr>
          <w:lang w:val="en-US"/>
        </w:rPr>
        <w:t>3</w:t>
      </w:r>
      <w:r w:rsidR="00A06516">
        <w:rPr>
          <w:lang w:val="en-US"/>
        </w:rPr>
        <w:t xml:space="preserve"> is the maximum number. </w:t>
      </w:r>
      <w:r w:rsidR="005772DF">
        <w:rPr>
          <w:lang w:val="en-US"/>
        </w:rPr>
        <w:t xml:space="preserve">Thus, configuration 3 will be selected for the test. </w:t>
      </w:r>
    </w:p>
    <w:p w:rsidR="00EC5B33" w:rsidRDefault="00B11294" w:rsidP="00650754">
      <w:pPr>
        <w:rPr>
          <w:lang w:val="en-US"/>
        </w:rPr>
      </w:pPr>
      <w:r>
        <w:rPr>
          <w:lang w:val="en-US"/>
        </w:rPr>
        <w:t xml:space="preserve">The application rule defined based on option 2 </w:t>
      </w:r>
      <w:r w:rsidR="00EC5B33">
        <w:rPr>
          <w:lang w:val="en-US"/>
        </w:rPr>
        <w:t xml:space="preserve">follows the general principle of legacy CA test. In legacy CA test, the configuration with the maximum aggregated bandwidth is selected as the test configuration. Although it cannot </w:t>
      </w:r>
      <w:r w:rsidR="000543D6">
        <w:rPr>
          <w:lang w:val="en-US"/>
        </w:rPr>
        <w:t xml:space="preserve">be </w:t>
      </w:r>
      <w:r w:rsidR="00EC5B33">
        <w:rPr>
          <w:lang w:val="en-US"/>
        </w:rPr>
        <w:t xml:space="preserve">directly applied to LAA case, but the general principle can be reused. </w:t>
      </w:r>
    </w:p>
    <w:p w:rsidR="00E30DAF" w:rsidRDefault="000543D6" w:rsidP="00650754">
      <w:pPr>
        <w:rPr>
          <w:lang w:val="en-US"/>
        </w:rPr>
      </w:pPr>
      <w:r>
        <w:rPr>
          <w:lang w:val="en-US"/>
        </w:rPr>
        <w:t xml:space="preserve">Furthermore, the application rule defined based on option 2 </w:t>
      </w:r>
      <w:r w:rsidR="00B11294">
        <w:rPr>
          <w:lang w:val="en-US"/>
        </w:rPr>
        <w:t>is more valuable regarding the CA test purpose. For CA test, one importa</w:t>
      </w:r>
      <w:r w:rsidR="004865E7">
        <w:rPr>
          <w:lang w:val="en-US"/>
        </w:rPr>
        <w:t>nt test purpose is to verify UE</w:t>
      </w:r>
      <w:r w:rsidR="00B11294">
        <w:rPr>
          <w:lang w:val="en-US"/>
        </w:rPr>
        <w:t xml:space="preserve"> </w:t>
      </w:r>
      <w:r w:rsidR="004865E7">
        <w:rPr>
          <w:lang w:val="en-US"/>
        </w:rPr>
        <w:t>joint processing capability for multiple CCs</w:t>
      </w:r>
      <w:r w:rsidR="00B11294">
        <w:rPr>
          <w:lang w:val="en-US"/>
        </w:rPr>
        <w:t xml:space="preserve">. </w:t>
      </w:r>
      <w:r w:rsidR="000E32AB">
        <w:rPr>
          <w:lang w:val="en-US"/>
        </w:rPr>
        <w:t>Compared Configuration 3 with configuration 1, configuration 3 is</w:t>
      </w:r>
      <w:r w:rsidR="006816A5">
        <w:rPr>
          <w:lang w:val="en-US"/>
        </w:rPr>
        <w:t xml:space="preserve"> much</w:t>
      </w:r>
      <w:r w:rsidR="000E32AB">
        <w:rPr>
          <w:lang w:val="en-US"/>
        </w:rPr>
        <w:t xml:space="preserve"> more </w:t>
      </w:r>
      <w:r w:rsidR="004865E7">
        <w:rPr>
          <w:lang w:val="en-US"/>
        </w:rPr>
        <w:t>stressful,</w:t>
      </w:r>
      <w:r w:rsidR="006816A5">
        <w:rPr>
          <w:lang w:val="en-US"/>
        </w:rPr>
        <w:t xml:space="preserve"> and</w:t>
      </w:r>
      <w:r w:rsidR="000E32AB">
        <w:rPr>
          <w:lang w:val="en-US"/>
        </w:rPr>
        <w:t xml:space="preserve"> </w:t>
      </w:r>
      <w:r w:rsidR="00941B24">
        <w:rPr>
          <w:lang w:val="en-US"/>
        </w:rPr>
        <w:t>configuration 1 is not so useful to verify</w:t>
      </w:r>
      <w:r w:rsidR="004865E7">
        <w:rPr>
          <w:lang w:val="en-US"/>
        </w:rPr>
        <w:t xml:space="preserve"> joint processing capability for multiple CCs</w:t>
      </w:r>
      <w:r w:rsidR="00941B24">
        <w:rPr>
          <w:lang w:val="en-US"/>
        </w:rPr>
        <w:t xml:space="preserve">, since only three component carriers are configured in the test for the UE who supports 5 CCs if configuration 1 is adopted.  </w:t>
      </w:r>
    </w:p>
    <w:p w:rsidR="00E01A6C" w:rsidRDefault="00650754" w:rsidP="00650754">
      <w:pPr>
        <w:rPr>
          <w:lang w:val="en-US"/>
        </w:rPr>
      </w:pPr>
      <w:r>
        <w:rPr>
          <w:lang w:val="en-US"/>
        </w:rPr>
        <w:t xml:space="preserve">From test complexity point of view, the complexity of option 1 and option 2 are </w:t>
      </w:r>
      <w:r w:rsidR="00E63837">
        <w:rPr>
          <w:lang w:val="en-US"/>
        </w:rPr>
        <w:t>very similar</w:t>
      </w:r>
      <w:r>
        <w:rPr>
          <w:lang w:val="en-US"/>
        </w:rPr>
        <w:t xml:space="preserve">, since only one configuration will be selected for the UE for the test(s) in both option 1 and option 2. </w:t>
      </w:r>
      <w:r w:rsidR="00E01A6C">
        <w:rPr>
          <w:lang w:val="en-US"/>
        </w:rPr>
        <w:t xml:space="preserve">Some companies think that carrier aggregation performance verification on licensed CC is duplicated. For good UE, with respect to the performance, it may be quite similar. However, for bad UE, option 2 and option 1 can make some difference. For option 2, it can rule out any bad UE implementation, but for option 1, even UE have some performance degradation for some component carriers when the number of supported carriers is increased, it can still pass the test. Since the CA test is a parallel test, there is not too much difference regarding test complexity for option 1 and option 2. The only difference is how many statistics TE need to collect for each test.  </w:t>
      </w:r>
    </w:p>
    <w:p w:rsidR="003057BE" w:rsidRDefault="003057BE" w:rsidP="00650754">
      <w:pPr>
        <w:rPr>
          <w:lang w:val="en-US"/>
        </w:rPr>
      </w:pPr>
      <w:r>
        <w:rPr>
          <w:lang w:val="en-US"/>
        </w:rPr>
        <w:t>From specification description point of view, they are also very similar.</w:t>
      </w:r>
      <w:r w:rsidR="000D7AAB">
        <w:rPr>
          <w:lang w:val="en-US"/>
        </w:rPr>
        <w:t xml:space="preserve"> The only difference is on how to define the applicability rule. </w:t>
      </w:r>
      <w:r>
        <w:rPr>
          <w:lang w:val="en-US"/>
        </w:rPr>
        <w:t xml:space="preserve">Thus, we prefer to extend the performance requirements based on option 2 and apply the aforementioned test applicability accordingly. </w:t>
      </w:r>
    </w:p>
    <w:p w:rsidR="003057BE" w:rsidRPr="00172DB9" w:rsidRDefault="003057BE" w:rsidP="003057BE">
      <w:pPr>
        <w:rPr>
          <w:b/>
          <w:i/>
          <w:lang w:val="en-US"/>
        </w:rPr>
      </w:pPr>
      <w:r w:rsidRPr="00172DB9">
        <w:rPr>
          <w:b/>
          <w:i/>
          <w:lang w:val="en-US"/>
        </w:rPr>
        <w:t>Proposal 1:</w:t>
      </w:r>
      <w:r w:rsidRPr="00172DB9">
        <w:rPr>
          <w:i/>
          <w:lang w:val="en-US"/>
        </w:rPr>
        <w:t xml:space="preserve">  </w:t>
      </w:r>
      <w:r w:rsidRPr="00172DB9">
        <w:rPr>
          <w:b/>
          <w:i/>
          <w:lang w:val="en-US"/>
        </w:rPr>
        <w:t xml:space="preserve">Performance requirements are defined for multiple license carrier(s) and multiple unlicensed carriers. </w:t>
      </w:r>
    </w:p>
    <w:p w:rsidR="003057BE" w:rsidRPr="00172DB9" w:rsidRDefault="003057BE" w:rsidP="003057BE">
      <w:pPr>
        <w:rPr>
          <w:i/>
        </w:rPr>
      </w:pPr>
      <w:r w:rsidRPr="00172DB9">
        <w:rPr>
          <w:b/>
          <w:i/>
          <w:lang w:val="en-US"/>
        </w:rPr>
        <w:t>Proposal 2: (Applicability rule</w:t>
      </w:r>
      <w:r w:rsidR="002D48C6" w:rsidRPr="00172DB9">
        <w:rPr>
          <w:b/>
          <w:i/>
          <w:lang w:val="en-US"/>
        </w:rPr>
        <w:t xml:space="preserve"> for performance test</w:t>
      </w:r>
      <w:r w:rsidRPr="00172DB9">
        <w:rPr>
          <w:b/>
          <w:i/>
          <w:lang w:val="en-US"/>
        </w:rPr>
        <w:t>) For each supported CA capability, if UE passes corresponding CA test with the CA configuration which is with largest aggregated unlicensed CA bandwidth and licensed CA bandwidth combination within the CA configurations selected from the configurations with largest aggregated unlicensed CA bandwidth combination, the test coverage for</w:t>
      </w:r>
      <w:r w:rsidR="00740228">
        <w:rPr>
          <w:b/>
          <w:i/>
          <w:lang w:val="en-US"/>
        </w:rPr>
        <w:t xml:space="preserve"> LAA operation </w:t>
      </w:r>
      <w:r w:rsidRPr="00172DB9">
        <w:rPr>
          <w:b/>
          <w:i/>
          <w:lang w:val="en-US"/>
        </w:rPr>
        <w:t xml:space="preserve">can be considered fulfilled without executing the CA tests with </w:t>
      </w:r>
      <w:r w:rsidR="00740228">
        <w:rPr>
          <w:b/>
          <w:i/>
          <w:lang w:val="en-US"/>
        </w:rPr>
        <w:t xml:space="preserve">other configuration </w:t>
      </w:r>
      <w:r w:rsidRPr="00172DB9">
        <w:rPr>
          <w:b/>
          <w:i/>
          <w:lang w:val="en-US"/>
        </w:rPr>
        <w:t>supported by the UE.</w:t>
      </w:r>
    </w:p>
    <w:p w:rsidR="00C4121D" w:rsidRPr="00C4121D" w:rsidRDefault="00C4121D" w:rsidP="00FB34EF">
      <w:pPr>
        <w:rPr>
          <w:b/>
        </w:rPr>
      </w:pPr>
    </w:p>
    <w:p w:rsidR="004D7ED3" w:rsidRDefault="004D7ED3" w:rsidP="004D7ED3">
      <w:pPr>
        <w:pStyle w:val="Heading1"/>
        <w:rPr>
          <w:lang w:val="en-US"/>
        </w:rPr>
      </w:pPr>
      <w:r>
        <w:rPr>
          <w:rFonts w:hint="eastAsia"/>
          <w:lang w:val="en-US"/>
        </w:rPr>
        <w:lastRenderedPageBreak/>
        <w:t>Conclusion</w:t>
      </w:r>
    </w:p>
    <w:p w:rsidR="008506DD" w:rsidRDefault="00454F9E" w:rsidP="0054528E">
      <w:pPr>
        <w:rPr>
          <w:lang w:val="en-US"/>
        </w:rPr>
      </w:pPr>
      <w:r>
        <w:rPr>
          <w:lang w:val="en-US"/>
        </w:rPr>
        <w:t xml:space="preserve">In this paper, </w:t>
      </w:r>
      <w:r w:rsidR="008506DD">
        <w:rPr>
          <w:lang w:val="en-US"/>
        </w:rPr>
        <w:t>we share our view on how to extend Rel-13 LAA demodulation into Rel-14 LAA demodulation. We have the following proposals:</w:t>
      </w:r>
    </w:p>
    <w:p w:rsidR="008506DD" w:rsidRPr="00F6640F" w:rsidRDefault="008506DD" w:rsidP="008506DD">
      <w:pPr>
        <w:rPr>
          <w:b/>
          <w:i/>
          <w:lang w:val="en-US"/>
        </w:rPr>
      </w:pPr>
      <w:r w:rsidRPr="00F6640F">
        <w:rPr>
          <w:b/>
          <w:i/>
          <w:lang w:val="en-US"/>
        </w:rPr>
        <w:t>Proposal 1:</w:t>
      </w:r>
      <w:r w:rsidRPr="00F6640F">
        <w:rPr>
          <w:i/>
          <w:lang w:val="en-US"/>
        </w:rPr>
        <w:t xml:space="preserve">  </w:t>
      </w:r>
      <w:r w:rsidRPr="00F6640F">
        <w:rPr>
          <w:b/>
          <w:i/>
          <w:lang w:val="en-US"/>
        </w:rPr>
        <w:t xml:space="preserve">Performance requirements are defined for multiple license carrier(s) and multiple unlicensed carriers. </w:t>
      </w:r>
    </w:p>
    <w:p w:rsidR="008506DD" w:rsidRPr="002F225D" w:rsidRDefault="008506DD" w:rsidP="008506DD">
      <w:r w:rsidRPr="00F6640F">
        <w:rPr>
          <w:b/>
          <w:i/>
          <w:lang w:val="en-US"/>
        </w:rPr>
        <w:t xml:space="preserve">Proposal 2: </w:t>
      </w:r>
      <w:r w:rsidR="0052480B" w:rsidRPr="00172DB9">
        <w:rPr>
          <w:b/>
          <w:i/>
          <w:lang w:val="en-US"/>
        </w:rPr>
        <w:t>(Applicability rule for performance test) For each supported CA capability, if UE passes corresponding CA test with the CA configurat</w:t>
      </w:r>
      <w:bookmarkStart w:id="6" w:name="_GoBack"/>
      <w:bookmarkEnd w:id="6"/>
      <w:r w:rsidR="0052480B" w:rsidRPr="00172DB9">
        <w:rPr>
          <w:b/>
          <w:i/>
          <w:lang w:val="en-US"/>
        </w:rPr>
        <w:t>ion which is with largest aggregated unlicensed CA bandwidth and licensed CA bandwidth combination within the CA configurations selected from the configurations with largest aggregated unlicensed CA bandwidth combination, the test coverage for</w:t>
      </w:r>
      <w:r w:rsidR="0052480B">
        <w:rPr>
          <w:b/>
          <w:i/>
          <w:lang w:val="en-US"/>
        </w:rPr>
        <w:t xml:space="preserve"> LAA operation </w:t>
      </w:r>
      <w:r w:rsidR="0052480B" w:rsidRPr="00172DB9">
        <w:rPr>
          <w:b/>
          <w:i/>
          <w:lang w:val="en-US"/>
        </w:rPr>
        <w:t xml:space="preserve">can be considered fulfilled without executing the CA tests with </w:t>
      </w:r>
      <w:r w:rsidR="0052480B">
        <w:rPr>
          <w:b/>
          <w:i/>
          <w:lang w:val="en-US"/>
        </w:rPr>
        <w:t xml:space="preserve">other configuration </w:t>
      </w:r>
      <w:r w:rsidR="0052480B" w:rsidRPr="00172DB9">
        <w:rPr>
          <w:b/>
          <w:i/>
          <w:lang w:val="en-US"/>
        </w:rPr>
        <w:t>supported by the UE.</w:t>
      </w:r>
    </w:p>
    <w:p w:rsidR="00E10255" w:rsidRDefault="00E10255" w:rsidP="00E10255">
      <w:pPr>
        <w:pStyle w:val="Heading1"/>
        <w:rPr>
          <w:lang w:val="en-US"/>
        </w:rPr>
      </w:pPr>
      <w:r>
        <w:rPr>
          <w:lang w:val="en-US"/>
        </w:rPr>
        <w:t>Reference</w:t>
      </w:r>
    </w:p>
    <w:p w:rsidR="00520304" w:rsidRPr="00381FA2" w:rsidRDefault="00B722A5" w:rsidP="00D86D0B">
      <w:pPr>
        <w:pStyle w:val="ListParagraph"/>
        <w:numPr>
          <w:ilvl w:val="0"/>
          <w:numId w:val="37"/>
        </w:numPr>
        <w:ind w:left="450"/>
        <w:rPr>
          <w:lang w:val="en-US"/>
        </w:rPr>
      </w:pPr>
      <w:bookmarkStart w:id="7" w:name="_Ref472955847"/>
      <w:r w:rsidRPr="00381FA2">
        <w:rPr>
          <w:rFonts w:hint="eastAsia"/>
          <w:lang w:val="en-US"/>
        </w:rPr>
        <w:t>R4-1610639</w:t>
      </w:r>
      <w:r w:rsidRPr="00381FA2">
        <w:rPr>
          <w:lang w:val="en-US"/>
        </w:rPr>
        <w:t xml:space="preserve">, </w:t>
      </w:r>
      <w:r w:rsidRPr="00B722A5">
        <w:t>WF on LAA performance requirements extension</w:t>
      </w:r>
      <w:r>
        <w:t xml:space="preserve">, </w:t>
      </w:r>
      <w:r w:rsidRPr="00381FA2">
        <w:rPr>
          <w:lang w:val="en-US"/>
        </w:rPr>
        <w:t xml:space="preserve">Huawei, </w:t>
      </w:r>
      <w:proofErr w:type="spellStart"/>
      <w:r w:rsidRPr="00381FA2">
        <w:rPr>
          <w:lang w:val="en-US"/>
        </w:rPr>
        <w:t>HiSilicon</w:t>
      </w:r>
      <w:proofErr w:type="spellEnd"/>
      <w:r w:rsidRPr="00381FA2">
        <w:rPr>
          <w:lang w:val="en-US"/>
        </w:rPr>
        <w:t>, Ericsson, Qualcomm, Intel, Nov. 2016.</w:t>
      </w:r>
      <w:bookmarkEnd w:id="7"/>
      <w:r w:rsidRPr="00381FA2">
        <w:rPr>
          <w:lang w:val="en-US"/>
        </w:rPr>
        <w:t xml:space="preserve"> </w:t>
      </w:r>
    </w:p>
    <w:sectPr w:rsidR="00520304" w:rsidRPr="00381FA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C1C" w:rsidRDefault="00E02C1C">
      <w:r>
        <w:separator/>
      </w:r>
    </w:p>
  </w:endnote>
  <w:endnote w:type="continuationSeparator" w:id="0">
    <w:p w:rsidR="00E02C1C" w:rsidRDefault="00E0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D9" w:rsidRDefault="00D440D9"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78A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8A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C1C" w:rsidRDefault="00E02C1C">
      <w:r>
        <w:separator/>
      </w:r>
    </w:p>
  </w:footnote>
  <w:footnote w:type="continuationSeparator" w:id="0">
    <w:p w:rsidR="00E02C1C" w:rsidRDefault="00E02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D9" w:rsidRDefault="00D440D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A82794"/>
    <w:multiLevelType w:val="hybridMultilevel"/>
    <w:tmpl w:val="2826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32940E7E"/>
    <w:multiLevelType w:val="hybridMultilevel"/>
    <w:tmpl w:val="45A65E58"/>
    <w:lvl w:ilvl="0" w:tplc="CB5E6A5C">
      <w:start w:val="1"/>
      <w:numFmt w:val="bullet"/>
      <w:lvlText w:val="•"/>
      <w:lvlJc w:val="left"/>
      <w:pPr>
        <w:tabs>
          <w:tab w:val="num" w:pos="720"/>
        </w:tabs>
        <w:ind w:left="720" w:hanging="360"/>
      </w:pPr>
      <w:rPr>
        <w:rFonts w:ascii="Arial" w:hAnsi="Arial" w:hint="default"/>
      </w:rPr>
    </w:lvl>
    <w:lvl w:ilvl="1" w:tplc="E7E00286" w:tentative="1">
      <w:start w:val="1"/>
      <w:numFmt w:val="bullet"/>
      <w:lvlText w:val="•"/>
      <w:lvlJc w:val="left"/>
      <w:pPr>
        <w:tabs>
          <w:tab w:val="num" w:pos="1440"/>
        </w:tabs>
        <w:ind w:left="1440" w:hanging="360"/>
      </w:pPr>
      <w:rPr>
        <w:rFonts w:ascii="Arial" w:hAnsi="Arial" w:hint="default"/>
      </w:rPr>
    </w:lvl>
    <w:lvl w:ilvl="2" w:tplc="1204813E" w:tentative="1">
      <w:start w:val="1"/>
      <w:numFmt w:val="bullet"/>
      <w:lvlText w:val="•"/>
      <w:lvlJc w:val="left"/>
      <w:pPr>
        <w:tabs>
          <w:tab w:val="num" w:pos="2160"/>
        </w:tabs>
        <w:ind w:left="2160" w:hanging="360"/>
      </w:pPr>
      <w:rPr>
        <w:rFonts w:ascii="Arial" w:hAnsi="Arial" w:hint="default"/>
      </w:rPr>
    </w:lvl>
    <w:lvl w:ilvl="3" w:tplc="B49C6F5C" w:tentative="1">
      <w:start w:val="1"/>
      <w:numFmt w:val="bullet"/>
      <w:lvlText w:val="•"/>
      <w:lvlJc w:val="left"/>
      <w:pPr>
        <w:tabs>
          <w:tab w:val="num" w:pos="2880"/>
        </w:tabs>
        <w:ind w:left="2880" w:hanging="360"/>
      </w:pPr>
      <w:rPr>
        <w:rFonts w:ascii="Arial" w:hAnsi="Arial" w:hint="default"/>
      </w:rPr>
    </w:lvl>
    <w:lvl w:ilvl="4" w:tplc="A4AE1F68" w:tentative="1">
      <w:start w:val="1"/>
      <w:numFmt w:val="bullet"/>
      <w:lvlText w:val="•"/>
      <w:lvlJc w:val="left"/>
      <w:pPr>
        <w:tabs>
          <w:tab w:val="num" w:pos="3600"/>
        </w:tabs>
        <w:ind w:left="3600" w:hanging="360"/>
      </w:pPr>
      <w:rPr>
        <w:rFonts w:ascii="Arial" w:hAnsi="Arial" w:hint="default"/>
      </w:rPr>
    </w:lvl>
    <w:lvl w:ilvl="5" w:tplc="4CF6094C" w:tentative="1">
      <w:start w:val="1"/>
      <w:numFmt w:val="bullet"/>
      <w:lvlText w:val="•"/>
      <w:lvlJc w:val="left"/>
      <w:pPr>
        <w:tabs>
          <w:tab w:val="num" w:pos="4320"/>
        </w:tabs>
        <w:ind w:left="4320" w:hanging="360"/>
      </w:pPr>
      <w:rPr>
        <w:rFonts w:ascii="Arial" w:hAnsi="Arial" w:hint="default"/>
      </w:rPr>
    </w:lvl>
    <w:lvl w:ilvl="6" w:tplc="1EA4C71E" w:tentative="1">
      <w:start w:val="1"/>
      <w:numFmt w:val="bullet"/>
      <w:lvlText w:val="•"/>
      <w:lvlJc w:val="left"/>
      <w:pPr>
        <w:tabs>
          <w:tab w:val="num" w:pos="5040"/>
        </w:tabs>
        <w:ind w:left="5040" w:hanging="360"/>
      </w:pPr>
      <w:rPr>
        <w:rFonts w:ascii="Arial" w:hAnsi="Arial" w:hint="default"/>
      </w:rPr>
    </w:lvl>
    <w:lvl w:ilvl="7" w:tplc="4DEE395C" w:tentative="1">
      <w:start w:val="1"/>
      <w:numFmt w:val="bullet"/>
      <w:lvlText w:val="•"/>
      <w:lvlJc w:val="left"/>
      <w:pPr>
        <w:tabs>
          <w:tab w:val="num" w:pos="5760"/>
        </w:tabs>
        <w:ind w:left="5760" w:hanging="360"/>
      </w:pPr>
      <w:rPr>
        <w:rFonts w:ascii="Arial" w:hAnsi="Arial" w:hint="default"/>
      </w:rPr>
    </w:lvl>
    <w:lvl w:ilvl="8" w:tplc="0D18B5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575595"/>
    <w:multiLevelType w:val="hybridMultilevel"/>
    <w:tmpl w:val="E328219C"/>
    <w:lvl w:ilvl="0" w:tplc="C9627308">
      <w:start w:val="1"/>
      <w:numFmt w:val="bullet"/>
      <w:lvlText w:val="•"/>
      <w:lvlJc w:val="left"/>
      <w:pPr>
        <w:tabs>
          <w:tab w:val="num" w:pos="720"/>
        </w:tabs>
        <w:ind w:left="720" w:hanging="360"/>
      </w:pPr>
      <w:rPr>
        <w:rFonts w:ascii="Arial" w:hAnsi="Arial" w:hint="default"/>
      </w:rPr>
    </w:lvl>
    <w:lvl w:ilvl="1" w:tplc="91248FDE">
      <w:numFmt w:val="bullet"/>
      <w:lvlText w:val="–"/>
      <w:lvlJc w:val="left"/>
      <w:pPr>
        <w:tabs>
          <w:tab w:val="num" w:pos="1440"/>
        </w:tabs>
        <w:ind w:left="1440" w:hanging="360"/>
      </w:pPr>
      <w:rPr>
        <w:rFonts w:ascii="Arial" w:hAnsi="Arial" w:hint="default"/>
      </w:rPr>
    </w:lvl>
    <w:lvl w:ilvl="2" w:tplc="B6A8D6A4">
      <w:numFmt w:val="bullet"/>
      <w:lvlText w:val="•"/>
      <w:lvlJc w:val="left"/>
      <w:pPr>
        <w:tabs>
          <w:tab w:val="num" w:pos="2160"/>
        </w:tabs>
        <w:ind w:left="2160" w:hanging="360"/>
      </w:pPr>
      <w:rPr>
        <w:rFonts w:ascii="Arial" w:hAnsi="Arial" w:hint="default"/>
      </w:rPr>
    </w:lvl>
    <w:lvl w:ilvl="3" w:tplc="0A2C85D8" w:tentative="1">
      <w:start w:val="1"/>
      <w:numFmt w:val="bullet"/>
      <w:lvlText w:val="•"/>
      <w:lvlJc w:val="left"/>
      <w:pPr>
        <w:tabs>
          <w:tab w:val="num" w:pos="2880"/>
        </w:tabs>
        <w:ind w:left="2880" w:hanging="360"/>
      </w:pPr>
      <w:rPr>
        <w:rFonts w:ascii="Arial" w:hAnsi="Arial" w:hint="default"/>
      </w:rPr>
    </w:lvl>
    <w:lvl w:ilvl="4" w:tplc="11987528" w:tentative="1">
      <w:start w:val="1"/>
      <w:numFmt w:val="bullet"/>
      <w:lvlText w:val="•"/>
      <w:lvlJc w:val="left"/>
      <w:pPr>
        <w:tabs>
          <w:tab w:val="num" w:pos="3600"/>
        </w:tabs>
        <w:ind w:left="3600" w:hanging="360"/>
      </w:pPr>
      <w:rPr>
        <w:rFonts w:ascii="Arial" w:hAnsi="Arial" w:hint="default"/>
      </w:rPr>
    </w:lvl>
    <w:lvl w:ilvl="5" w:tplc="F496E564" w:tentative="1">
      <w:start w:val="1"/>
      <w:numFmt w:val="bullet"/>
      <w:lvlText w:val="•"/>
      <w:lvlJc w:val="left"/>
      <w:pPr>
        <w:tabs>
          <w:tab w:val="num" w:pos="4320"/>
        </w:tabs>
        <w:ind w:left="4320" w:hanging="360"/>
      </w:pPr>
      <w:rPr>
        <w:rFonts w:ascii="Arial" w:hAnsi="Arial" w:hint="default"/>
      </w:rPr>
    </w:lvl>
    <w:lvl w:ilvl="6" w:tplc="A942DAC2" w:tentative="1">
      <w:start w:val="1"/>
      <w:numFmt w:val="bullet"/>
      <w:lvlText w:val="•"/>
      <w:lvlJc w:val="left"/>
      <w:pPr>
        <w:tabs>
          <w:tab w:val="num" w:pos="5040"/>
        </w:tabs>
        <w:ind w:left="5040" w:hanging="360"/>
      </w:pPr>
      <w:rPr>
        <w:rFonts w:ascii="Arial" w:hAnsi="Arial" w:hint="default"/>
      </w:rPr>
    </w:lvl>
    <w:lvl w:ilvl="7" w:tplc="BC2200B8" w:tentative="1">
      <w:start w:val="1"/>
      <w:numFmt w:val="bullet"/>
      <w:lvlText w:val="•"/>
      <w:lvlJc w:val="left"/>
      <w:pPr>
        <w:tabs>
          <w:tab w:val="num" w:pos="5760"/>
        </w:tabs>
        <w:ind w:left="5760" w:hanging="360"/>
      </w:pPr>
      <w:rPr>
        <w:rFonts w:ascii="Arial" w:hAnsi="Arial" w:hint="default"/>
      </w:rPr>
    </w:lvl>
    <w:lvl w:ilvl="8" w:tplc="0AF81C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5"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623525"/>
    <w:multiLevelType w:val="hybridMultilevel"/>
    <w:tmpl w:val="EF80A2F6"/>
    <w:lvl w:ilvl="0" w:tplc="38AA44C4">
      <w:start w:val="1"/>
      <w:numFmt w:val="bullet"/>
      <w:lvlText w:val="•"/>
      <w:lvlJc w:val="left"/>
      <w:pPr>
        <w:tabs>
          <w:tab w:val="num" w:pos="720"/>
        </w:tabs>
        <w:ind w:left="720" w:hanging="360"/>
      </w:pPr>
      <w:rPr>
        <w:rFonts w:ascii="Arial" w:hAnsi="Arial" w:hint="default"/>
      </w:rPr>
    </w:lvl>
    <w:lvl w:ilvl="1" w:tplc="729056F4">
      <w:numFmt w:val="bullet"/>
      <w:lvlText w:val="–"/>
      <w:lvlJc w:val="left"/>
      <w:pPr>
        <w:tabs>
          <w:tab w:val="num" w:pos="1440"/>
        </w:tabs>
        <w:ind w:left="1440" w:hanging="360"/>
      </w:pPr>
      <w:rPr>
        <w:rFonts w:ascii="Arial" w:hAnsi="Arial" w:hint="default"/>
      </w:rPr>
    </w:lvl>
    <w:lvl w:ilvl="2" w:tplc="3320A134">
      <w:numFmt w:val="bullet"/>
      <w:lvlText w:val="•"/>
      <w:lvlJc w:val="left"/>
      <w:pPr>
        <w:tabs>
          <w:tab w:val="num" w:pos="2160"/>
        </w:tabs>
        <w:ind w:left="2160" w:hanging="360"/>
      </w:pPr>
      <w:rPr>
        <w:rFonts w:ascii="Arial" w:hAnsi="Arial" w:hint="default"/>
      </w:rPr>
    </w:lvl>
    <w:lvl w:ilvl="3" w:tplc="E3DE3702" w:tentative="1">
      <w:start w:val="1"/>
      <w:numFmt w:val="bullet"/>
      <w:lvlText w:val="•"/>
      <w:lvlJc w:val="left"/>
      <w:pPr>
        <w:tabs>
          <w:tab w:val="num" w:pos="2880"/>
        </w:tabs>
        <w:ind w:left="2880" w:hanging="360"/>
      </w:pPr>
      <w:rPr>
        <w:rFonts w:ascii="Arial" w:hAnsi="Arial" w:hint="default"/>
      </w:rPr>
    </w:lvl>
    <w:lvl w:ilvl="4" w:tplc="96D4C40E" w:tentative="1">
      <w:start w:val="1"/>
      <w:numFmt w:val="bullet"/>
      <w:lvlText w:val="•"/>
      <w:lvlJc w:val="left"/>
      <w:pPr>
        <w:tabs>
          <w:tab w:val="num" w:pos="3600"/>
        </w:tabs>
        <w:ind w:left="3600" w:hanging="360"/>
      </w:pPr>
      <w:rPr>
        <w:rFonts w:ascii="Arial" w:hAnsi="Arial" w:hint="default"/>
      </w:rPr>
    </w:lvl>
    <w:lvl w:ilvl="5" w:tplc="08D40848" w:tentative="1">
      <w:start w:val="1"/>
      <w:numFmt w:val="bullet"/>
      <w:lvlText w:val="•"/>
      <w:lvlJc w:val="left"/>
      <w:pPr>
        <w:tabs>
          <w:tab w:val="num" w:pos="4320"/>
        </w:tabs>
        <w:ind w:left="4320" w:hanging="360"/>
      </w:pPr>
      <w:rPr>
        <w:rFonts w:ascii="Arial" w:hAnsi="Arial" w:hint="default"/>
      </w:rPr>
    </w:lvl>
    <w:lvl w:ilvl="6" w:tplc="1A323DA4" w:tentative="1">
      <w:start w:val="1"/>
      <w:numFmt w:val="bullet"/>
      <w:lvlText w:val="•"/>
      <w:lvlJc w:val="left"/>
      <w:pPr>
        <w:tabs>
          <w:tab w:val="num" w:pos="5040"/>
        </w:tabs>
        <w:ind w:left="5040" w:hanging="360"/>
      </w:pPr>
      <w:rPr>
        <w:rFonts w:ascii="Arial" w:hAnsi="Arial" w:hint="default"/>
      </w:rPr>
    </w:lvl>
    <w:lvl w:ilvl="7" w:tplc="414EC020" w:tentative="1">
      <w:start w:val="1"/>
      <w:numFmt w:val="bullet"/>
      <w:lvlText w:val="•"/>
      <w:lvlJc w:val="left"/>
      <w:pPr>
        <w:tabs>
          <w:tab w:val="num" w:pos="5760"/>
        </w:tabs>
        <w:ind w:left="5760" w:hanging="360"/>
      </w:pPr>
      <w:rPr>
        <w:rFonts w:ascii="Arial" w:hAnsi="Arial" w:hint="default"/>
      </w:rPr>
    </w:lvl>
    <w:lvl w:ilvl="8" w:tplc="14A414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550E81"/>
    <w:multiLevelType w:val="hybridMultilevel"/>
    <w:tmpl w:val="384AFDE2"/>
    <w:lvl w:ilvl="0" w:tplc="64AA3862">
      <w:start w:val="1"/>
      <w:numFmt w:val="bullet"/>
      <w:lvlText w:val="•"/>
      <w:lvlJc w:val="left"/>
      <w:pPr>
        <w:tabs>
          <w:tab w:val="num" w:pos="720"/>
        </w:tabs>
        <w:ind w:left="720" w:hanging="360"/>
      </w:pPr>
      <w:rPr>
        <w:rFonts w:ascii="Arial" w:hAnsi="Arial" w:hint="default"/>
      </w:rPr>
    </w:lvl>
    <w:lvl w:ilvl="1" w:tplc="99D4C3D0" w:tentative="1">
      <w:start w:val="1"/>
      <w:numFmt w:val="bullet"/>
      <w:lvlText w:val="•"/>
      <w:lvlJc w:val="left"/>
      <w:pPr>
        <w:tabs>
          <w:tab w:val="num" w:pos="1440"/>
        </w:tabs>
        <w:ind w:left="1440" w:hanging="360"/>
      </w:pPr>
      <w:rPr>
        <w:rFonts w:ascii="Arial" w:hAnsi="Arial" w:hint="default"/>
      </w:rPr>
    </w:lvl>
    <w:lvl w:ilvl="2" w:tplc="8FF8C554" w:tentative="1">
      <w:start w:val="1"/>
      <w:numFmt w:val="bullet"/>
      <w:lvlText w:val="•"/>
      <w:lvlJc w:val="left"/>
      <w:pPr>
        <w:tabs>
          <w:tab w:val="num" w:pos="2160"/>
        </w:tabs>
        <w:ind w:left="2160" w:hanging="360"/>
      </w:pPr>
      <w:rPr>
        <w:rFonts w:ascii="Arial" w:hAnsi="Arial" w:hint="default"/>
      </w:rPr>
    </w:lvl>
    <w:lvl w:ilvl="3" w:tplc="CAC0D7FE" w:tentative="1">
      <w:start w:val="1"/>
      <w:numFmt w:val="bullet"/>
      <w:lvlText w:val="•"/>
      <w:lvlJc w:val="left"/>
      <w:pPr>
        <w:tabs>
          <w:tab w:val="num" w:pos="2880"/>
        </w:tabs>
        <w:ind w:left="2880" w:hanging="360"/>
      </w:pPr>
      <w:rPr>
        <w:rFonts w:ascii="Arial" w:hAnsi="Arial" w:hint="default"/>
      </w:rPr>
    </w:lvl>
    <w:lvl w:ilvl="4" w:tplc="D92CEC82" w:tentative="1">
      <w:start w:val="1"/>
      <w:numFmt w:val="bullet"/>
      <w:lvlText w:val="•"/>
      <w:lvlJc w:val="left"/>
      <w:pPr>
        <w:tabs>
          <w:tab w:val="num" w:pos="3600"/>
        </w:tabs>
        <w:ind w:left="3600" w:hanging="360"/>
      </w:pPr>
      <w:rPr>
        <w:rFonts w:ascii="Arial" w:hAnsi="Arial" w:hint="default"/>
      </w:rPr>
    </w:lvl>
    <w:lvl w:ilvl="5" w:tplc="DA905C72" w:tentative="1">
      <w:start w:val="1"/>
      <w:numFmt w:val="bullet"/>
      <w:lvlText w:val="•"/>
      <w:lvlJc w:val="left"/>
      <w:pPr>
        <w:tabs>
          <w:tab w:val="num" w:pos="4320"/>
        </w:tabs>
        <w:ind w:left="4320" w:hanging="360"/>
      </w:pPr>
      <w:rPr>
        <w:rFonts w:ascii="Arial" w:hAnsi="Arial" w:hint="default"/>
      </w:rPr>
    </w:lvl>
    <w:lvl w:ilvl="6" w:tplc="0ADAC0F8" w:tentative="1">
      <w:start w:val="1"/>
      <w:numFmt w:val="bullet"/>
      <w:lvlText w:val="•"/>
      <w:lvlJc w:val="left"/>
      <w:pPr>
        <w:tabs>
          <w:tab w:val="num" w:pos="5040"/>
        </w:tabs>
        <w:ind w:left="5040" w:hanging="360"/>
      </w:pPr>
      <w:rPr>
        <w:rFonts w:ascii="Arial" w:hAnsi="Arial" w:hint="default"/>
      </w:rPr>
    </w:lvl>
    <w:lvl w:ilvl="7" w:tplc="95D46F52" w:tentative="1">
      <w:start w:val="1"/>
      <w:numFmt w:val="bullet"/>
      <w:lvlText w:val="•"/>
      <w:lvlJc w:val="left"/>
      <w:pPr>
        <w:tabs>
          <w:tab w:val="num" w:pos="5760"/>
        </w:tabs>
        <w:ind w:left="5760" w:hanging="360"/>
      </w:pPr>
      <w:rPr>
        <w:rFonts w:ascii="Arial" w:hAnsi="Arial" w:hint="default"/>
      </w:rPr>
    </w:lvl>
    <w:lvl w:ilvl="8" w:tplc="070817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3" w15:restartNumberingAfterBreak="0">
    <w:nsid w:val="69A52262"/>
    <w:multiLevelType w:val="hybridMultilevel"/>
    <w:tmpl w:val="8E54C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683095"/>
    <w:multiLevelType w:val="hybridMultilevel"/>
    <w:tmpl w:val="21D43052"/>
    <w:lvl w:ilvl="0" w:tplc="FBD4BA30">
      <w:start w:val="1"/>
      <w:numFmt w:val="decimal"/>
      <w:lvlText w:val="[%1]."/>
      <w:lvlJc w:val="left"/>
      <w:pPr>
        <w:ind w:left="360" w:hanging="360"/>
      </w:pPr>
      <w:rPr>
        <w:rFonts w:hint="eastAsia"/>
        <w:spacing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8"/>
  </w:num>
  <w:num w:numId="4">
    <w:abstractNumId w:val="29"/>
  </w:num>
  <w:num w:numId="5">
    <w:abstractNumId w:val="4"/>
  </w:num>
  <w:num w:numId="6">
    <w:abstractNumId w:val="15"/>
  </w:num>
  <w:num w:numId="7">
    <w:abstractNumId w:val="25"/>
  </w:num>
  <w:num w:numId="8">
    <w:abstractNumId w:val="19"/>
  </w:num>
  <w:num w:numId="9">
    <w:abstractNumId w:val="10"/>
  </w:num>
  <w:num w:numId="10">
    <w:abstractNumId w:val="26"/>
  </w:num>
  <w:num w:numId="11">
    <w:abstractNumId w:val="24"/>
  </w:num>
  <w:num w:numId="12">
    <w:abstractNumId w:val="5"/>
  </w:num>
  <w:num w:numId="13">
    <w:abstractNumId w:val="3"/>
  </w:num>
  <w:num w:numId="14">
    <w:abstractNumId w:val="6"/>
  </w:num>
  <w:num w:numId="15">
    <w:abstractNumId w:val="28"/>
  </w:num>
  <w:num w:numId="16">
    <w:abstractNumId w:val="9"/>
  </w:num>
  <w:num w:numId="17">
    <w:abstractNumId w:val="2"/>
  </w:num>
  <w:num w:numId="18">
    <w:abstractNumId w:val="0"/>
  </w:num>
  <w:num w:numId="19">
    <w:abstractNumId w:val="0"/>
  </w:num>
  <w:num w:numId="20">
    <w:abstractNumId w:val="1"/>
  </w:num>
  <w:num w:numId="21">
    <w:abstractNumId w:val="0"/>
  </w:num>
  <w:num w:numId="22">
    <w:abstractNumId w:val="30"/>
  </w:num>
  <w:num w:numId="23">
    <w:abstractNumId w:val="0"/>
  </w:num>
  <w:num w:numId="24">
    <w:abstractNumId w:val="31"/>
  </w:num>
  <w:num w:numId="25">
    <w:abstractNumId w:val="0"/>
  </w:num>
  <w:num w:numId="26">
    <w:abstractNumId w:val="14"/>
  </w:num>
  <w:num w:numId="27">
    <w:abstractNumId w:val="0"/>
  </w:num>
  <w:num w:numId="28">
    <w:abstractNumId w:val="21"/>
  </w:num>
  <w:num w:numId="29">
    <w:abstractNumId w:val="0"/>
  </w:num>
  <w:num w:numId="30">
    <w:abstractNumId w:val="20"/>
  </w:num>
  <w:num w:numId="31">
    <w:abstractNumId w:val="18"/>
  </w:num>
  <w:num w:numId="32">
    <w:abstractNumId w:val="0"/>
  </w:num>
  <w:num w:numId="33">
    <w:abstractNumId w:val="11"/>
  </w:num>
  <w:num w:numId="34">
    <w:abstractNumId w:val="0"/>
  </w:num>
  <w:num w:numId="35">
    <w:abstractNumId w:val="0"/>
  </w:num>
  <w:num w:numId="36">
    <w:abstractNumId w:val="0"/>
  </w:num>
  <w:num w:numId="37">
    <w:abstractNumId w:val="27"/>
  </w:num>
  <w:num w:numId="38">
    <w:abstractNumId w:val="7"/>
  </w:num>
  <w:num w:numId="39">
    <w:abstractNumId w:val="0"/>
  </w:num>
  <w:num w:numId="40">
    <w:abstractNumId w:val="12"/>
  </w:num>
  <w:num w:numId="41">
    <w:abstractNumId w:val="17"/>
  </w:num>
  <w:num w:numId="42">
    <w:abstractNumId w:val="23"/>
  </w:num>
  <w:num w:numId="43">
    <w:abstractNumId w:val="0"/>
  </w:num>
  <w:num w:numId="44">
    <w:abstractNumId w:val="13"/>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0FE"/>
    <w:rsid w:val="0000486D"/>
    <w:rsid w:val="000060B5"/>
    <w:rsid w:val="00013840"/>
    <w:rsid w:val="000141EC"/>
    <w:rsid w:val="000148FE"/>
    <w:rsid w:val="00015A19"/>
    <w:rsid w:val="000173A2"/>
    <w:rsid w:val="00026EDA"/>
    <w:rsid w:val="00031496"/>
    <w:rsid w:val="0003279D"/>
    <w:rsid w:val="00033D84"/>
    <w:rsid w:val="00035A95"/>
    <w:rsid w:val="00040A52"/>
    <w:rsid w:val="00043AFB"/>
    <w:rsid w:val="00046913"/>
    <w:rsid w:val="00046F3B"/>
    <w:rsid w:val="0005240C"/>
    <w:rsid w:val="0005242B"/>
    <w:rsid w:val="00053205"/>
    <w:rsid w:val="00053B0B"/>
    <w:rsid w:val="000543D6"/>
    <w:rsid w:val="000620CD"/>
    <w:rsid w:val="00064F2A"/>
    <w:rsid w:val="00072848"/>
    <w:rsid w:val="00075BE0"/>
    <w:rsid w:val="00080027"/>
    <w:rsid w:val="00082F6E"/>
    <w:rsid w:val="00084CEC"/>
    <w:rsid w:val="00086F37"/>
    <w:rsid w:val="0008783D"/>
    <w:rsid w:val="0009236C"/>
    <w:rsid w:val="00094048"/>
    <w:rsid w:val="000948D4"/>
    <w:rsid w:val="000956E1"/>
    <w:rsid w:val="000961C9"/>
    <w:rsid w:val="000A0C1A"/>
    <w:rsid w:val="000A16E8"/>
    <w:rsid w:val="000A4A81"/>
    <w:rsid w:val="000A752C"/>
    <w:rsid w:val="000B26D2"/>
    <w:rsid w:val="000B2F88"/>
    <w:rsid w:val="000B452A"/>
    <w:rsid w:val="000B4583"/>
    <w:rsid w:val="000B6F93"/>
    <w:rsid w:val="000C7A12"/>
    <w:rsid w:val="000D2D5E"/>
    <w:rsid w:val="000D390B"/>
    <w:rsid w:val="000D63CC"/>
    <w:rsid w:val="000D6E28"/>
    <w:rsid w:val="000D7AAB"/>
    <w:rsid w:val="000E23F7"/>
    <w:rsid w:val="000E32AB"/>
    <w:rsid w:val="000F144F"/>
    <w:rsid w:val="000F60B2"/>
    <w:rsid w:val="000F617A"/>
    <w:rsid w:val="000F642E"/>
    <w:rsid w:val="000F69F1"/>
    <w:rsid w:val="00100E91"/>
    <w:rsid w:val="00110B3D"/>
    <w:rsid w:val="001121D2"/>
    <w:rsid w:val="001260F6"/>
    <w:rsid w:val="00127701"/>
    <w:rsid w:val="00131F98"/>
    <w:rsid w:val="00132565"/>
    <w:rsid w:val="00134545"/>
    <w:rsid w:val="0013481C"/>
    <w:rsid w:val="00135F79"/>
    <w:rsid w:val="0014140B"/>
    <w:rsid w:val="00143677"/>
    <w:rsid w:val="00144356"/>
    <w:rsid w:val="00151B9B"/>
    <w:rsid w:val="0015375A"/>
    <w:rsid w:val="00153BA9"/>
    <w:rsid w:val="00155289"/>
    <w:rsid w:val="00160FC2"/>
    <w:rsid w:val="00166D37"/>
    <w:rsid w:val="00172DB9"/>
    <w:rsid w:val="001801B3"/>
    <w:rsid w:val="001805E5"/>
    <w:rsid w:val="001807D0"/>
    <w:rsid w:val="001813B9"/>
    <w:rsid w:val="00182390"/>
    <w:rsid w:val="001849C3"/>
    <w:rsid w:val="00187D58"/>
    <w:rsid w:val="0019129C"/>
    <w:rsid w:val="001924D8"/>
    <w:rsid w:val="00197EC1"/>
    <w:rsid w:val="001A01BF"/>
    <w:rsid w:val="001A1E2F"/>
    <w:rsid w:val="001B10E3"/>
    <w:rsid w:val="001B24F8"/>
    <w:rsid w:val="001B6327"/>
    <w:rsid w:val="001B6B90"/>
    <w:rsid w:val="001C0D21"/>
    <w:rsid w:val="001C4D3A"/>
    <w:rsid w:val="001D1DF9"/>
    <w:rsid w:val="001D2E05"/>
    <w:rsid w:val="001D6428"/>
    <w:rsid w:val="001E0683"/>
    <w:rsid w:val="001E0BA3"/>
    <w:rsid w:val="001E2BCB"/>
    <w:rsid w:val="001E34AE"/>
    <w:rsid w:val="001E3EBE"/>
    <w:rsid w:val="001F0CB7"/>
    <w:rsid w:val="001F15AA"/>
    <w:rsid w:val="001F1ACF"/>
    <w:rsid w:val="001F2699"/>
    <w:rsid w:val="001F5E00"/>
    <w:rsid w:val="001F7EF3"/>
    <w:rsid w:val="001F7FF8"/>
    <w:rsid w:val="002046E6"/>
    <w:rsid w:val="00211D70"/>
    <w:rsid w:val="00216465"/>
    <w:rsid w:val="00216D83"/>
    <w:rsid w:val="00221532"/>
    <w:rsid w:val="002218FE"/>
    <w:rsid w:val="002308BB"/>
    <w:rsid w:val="00230C4A"/>
    <w:rsid w:val="0023122F"/>
    <w:rsid w:val="0023382C"/>
    <w:rsid w:val="002367CC"/>
    <w:rsid w:val="00237E20"/>
    <w:rsid w:val="0024327D"/>
    <w:rsid w:val="002508E6"/>
    <w:rsid w:val="00250901"/>
    <w:rsid w:val="002561EA"/>
    <w:rsid w:val="00261554"/>
    <w:rsid w:val="00262747"/>
    <w:rsid w:val="00263D43"/>
    <w:rsid w:val="00270647"/>
    <w:rsid w:val="002721B1"/>
    <w:rsid w:val="00272573"/>
    <w:rsid w:val="00274F40"/>
    <w:rsid w:val="00280263"/>
    <w:rsid w:val="0028571F"/>
    <w:rsid w:val="00290BD3"/>
    <w:rsid w:val="00290F74"/>
    <w:rsid w:val="002910A4"/>
    <w:rsid w:val="002936B5"/>
    <w:rsid w:val="002962D3"/>
    <w:rsid w:val="002977EA"/>
    <w:rsid w:val="00297E83"/>
    <w:rsid w:val="002A267B"/>
    <w:rsid w:val="002B2CEC"/>
    <w:rsid w:val="002B5041"/>
    <w:rsid w:val="002C18AB"/>
    <w:rsid w:val="002D05AE"/>
    <w:rsid w:val="002D48C6"/>
    <w:rsid w:val="002D4B4B"/>
    <w:rsid w:val="002D5960"/>
    <w:rsid w:val="002D7552"/>
    <w:rsid w:val="002E14DE"/>
    <w:rsid w:val="002E31FA"/>
    <w:rsid w:val="002E6775"/>
    <w:rsid w:val="002F225D"/>
    <w:rsid w:val="002F372E"/>
    <w:rsid w:val="002F6970"/>
    <w:rsid w:val="002F6C16"/>
    <w:rsid w:val="00300047"/>
    <w:rsid w:val="00300390"/>
    <w:rsid w:val="00303D52"/>
    <w:rsid w:val="003057BE"/>
    <w:rsid w:val="003216DA"/>
    <w:rsid w:val="00324676"/>
    <w:rsid w:val="0033227D"/>
    <w:rsid w:val="0033377E"/>
    <w:rsid w:val="00333ED9"/>
    <w:rsid w:val="00342F05"/>
    <w:rsid w:val="00344497"/>
    <w:rsid w:val="0034611F"/>
    <w:rsid w:val="00353A73"/>
    <w:rsid w:val="0035534B"/>
    <w:rsid w:val="00355CE4"/>
    <w:rsid w:val="003560F7"/>
    <w:rsid w:val="00357C5D"/>
    <w:rsid w:val="00371150"/>
    <w:rsid w:val="00371687"/>
    <w:rsid w:val="00373313"/>
    <w:rsid w:val="00373ACB"/>
    <w:rsid w:val="003806C5"/>
    <w:rsid w:val="00381FA2"/>
    <w:rsid w:val="00384E2D"/>
    <w:rsid w:val="003878C2"/>
    <w:rsid w:val="0039330D"/>
    <w:rsid w:val="00394EF9"/>
    <w:rsid w:val="0039592D"/>
    <w:rsid w:val="003A0E9F"/>
    <w:rsid w:val="003A16D3"/>
    <w:rsid w:val="003A234B"/>
    <w:rsid w:val="003A4340"/>
    <w:rsid w:val="003A43C4"/>
    <w:rsid w:val="003A5799"/>
    <w:rsid w:val="003B594B"/>
    <w:rsid w:val="003C154D"/>
    <w:rsid w:val="003C242F"/>
    <w:rsid w:val="003C2448"/>
    <w:rsid w:val="003C3F6C"/>
    <w:rsid w:val="003C4C2E"/>
    <w:rsid w:val="003D0127"/>
    <w:rsid w:val="003D0DEB"/>
    <w:rsid w:val="003E319E"/>
    <w:rsid w:val="003E71B7"/>
    <w:rsid w:val="0040146C"/>
    <w:rsid w:val="00402C2C"/>
    <w:rsid w:val="00406E76"/>
    <w:rsid w:val="0041465A"/>
    <w:rsid w:val="00416EC3"/>
    <w:rsid w:val="00417F6B"/>
    <w:rsid w:val="004220AA"/>
    <w:rsid w:val="004245EC"/>
    <w:rsid w:val="00433365"/>
    <w:rsid w:val="00433FF0"/>
    <w:rsid w:val="004378DC"/>
    <w:rsid w:val="00442F9C"/>
    <w:rsid w:val="00454F9E"/>
    <w:rsid w:val="00455CE3"/>
    <w:rsid w:val="00461CF9"/>
    <w:rsid w:val="00463C49"/>
    <w:rsid w:val="004719A7"/>
    <w:rsid w:val="00481364"/>
    <w:rsid w:val="0048397A"/>
    <w:rsid w:val="004847D0"/>
    <w:rsid w:val="004865E5"/>
    <w:rsid w:val="004865E7"/>
    <w:rsid w:val="00487C7E"/>
    <w:rsid w:val="00492E49"/>
    <w:rsid w:val="00493C74"/>
    <w:rsid w:val="004950BA"/>
    <w:rsid w:val="004A31FA"/>
    <w:rsid w:val="004B0BD2"/>
    <w:rsid w:val="004B0E99"/>
    <w:rsid w:val="004B37C6"/>
    <w:rsid w:val="004B565B"/>
    <w:rsid w:val="004B7041"/>
    <w:rsid w:val="004C7F18"/>
    <w:rsid w:val="004D1869"/>
    <w:rsid w:val="004D3DAD"/>
    <w:rsid w:val="004D48D9"/>
    <w:rsid w:val="004D7ED3"/>
    <w:rsid w:val="004E22A1"/>
    <w:rsid w:val="004E22C1"/>
    <w:rsid w:val="004E75E9"/>
    <w:rsid w:val="004F5EBF"/>
    <w:rsid w:val="004F6D50"/>
    <w:rsid w:val="00500E41"/>
    <w:rsid w:val="00506FCB"/>
    <w:rsid w:val="00513829"/>
    <w:rsid w:val="0051669B"/>
    <w:rsid w:val="00520304"/>
    <w:rsid w:val="0052480B"/>
    <w:rsid w:val="00530BF0"/>
    <w:rsid w:val="00532B43"/>
    <w:rsid w:val="00536997"/>
    <w:rsid w:val="00542C0A"/>
    <w:rsid w:val="005431F2"/>
    <w:rsid w:val="0054440F"/>
    <w:rsid w:val="0054528E"/>
    <w:rsid w:val="0054541A"/>
    <w:rsid w:val="00545586"/>
    <w:rsid w:val="00547C15"/>
    <w:rsid w:val="0055050C"/>
    <w:rsid w:val="00553D77"/>
    <w:rsid w:val="005541A2"/>
    <w:rsid w:val="0055569C"/>
    <w:rsid w:val="005600E5"/>
    <w:rsid w:val="0056047C"/>
    <w:rsid w:val="00560D62"/>
    <w:rsid w:val="0056275E"/>
    <w:rsid w:val="0056349B"/>
    <w:rsid w:val="00563AD9"/>
    <w:rsid w:val="00573E75"/>
    <w:rsid w:val="005772DF"/>
    <w:rsid w:val="00585B0D"/>
    <w:rsid w:val="00590521"/>
    <w:rsid w:val="0059060F"/>
    <w:rsid w:val="00591123"/>
    <w:rsid w:val="005932C3"/>
    <w:rsid w:val="00594083"/>
    <w:rsid w:val="005A01AB"/>
    <w:rsid w:val="005A20B2"/>
    <w:rsid w:val="005A2E5A"/>
    <w:rsid w:val="005A3926"/>
    <w:rsid w:val="005A447B"/>
    <w:rsid w:val="005A6570"/>
    <w:rsid w:val="005B603D"/>
    <w:rsid w:val="005B711C"/>
    <w:rsid w:val="005C2896"/>
    <w:rsid w:val="005C2BA0"/>
    <w:rsid w:val="005C7F6D"/>
    <w:rsid w:val="005D564B"/>
    <w:rsid w:val="005E0115"/>
    <w:rsid w:val="005E1875"/>
    <w:rsid w:val="005E495F"/>
    <w:rsid w:val="005F0AEB"/>
    <w:rsid w:val="005F17DD"/>
    <w:rsid w:val="005F3927"/>
    <w:rsid w:val="005F3EE3"/>
    <w:rsid w:val="005F5A31"/>
    <w:rsid w:val="005F7F08"/>
    <w:rsid w:val="00602C39"/>
    <w:rsid w:val="00605AFD"/>
    <w:rsid w:val="0061073A"/>
    <w:rsid w:val="00610EDA"/>
    <w:rsid w:val="0061263B"/>
    <w:rsid w:val="00613E31"/>
    <w:rsid w:val="0061487F"/>
    <w:rsid w:val="0061558B"/>
    <w:rsid w:val="00615996"/>
    <w:rsid w:val="00616889"/>
    <w:rsid w:val="0061696F"/>
    <w:rsid w:val="0062057F"/>
    <w:rsid w:val="00621407"/>
    <w:rsid w:val="0062232D"/>
    <w:rsid w:val="00625265"/>
    <w:rsid w:val="006300ED"/>
    <w:rsid w:val="00630573"/>
    <w:rsid w:val="00632FFE"/>
    <w:rsid w:val="00634117"/>
    <w:rsid w:val="006406D4"/>
    <w:rsid w:val="006442CC"/>
    <w:rsid w:val="00650754"/>
    <w:rsid w:val="00656860"/>
    <w:rsid w:val="00656CA4"/>
    <w:rsid w:val="0066427E"/>
    <w:rsid w:val="00665C7F"/>
    <w:rsid w:val="006700F4"/>
    <w:rsid w:val="00671A08"/>
    <w:rsid w:val="006768E6"/>
    <w:rsid w:val="006816A5"/>
    <w:rsid w:val="00682FBE"/>
    <w:rsid w:val="00683167"/>
    <w:rsid w:val="006856F5"/>
    <w:rsid w:val="006923ED"/>
    <w:rsid w:val="006943DF"/>
    <w:rsid w:val="006950A4"/>
    <w:rsid w:val="00695AF3"/>
    <w:rsid w:val="006A0877"/>
    <w:rsid w:val="006A0FC9"/>
    <w:rsid w:val="006A11D9"/>
    <w:rsid w:val="006B0901"/>
    <w:rsid w:val="006B3E21"/>
    <w:rsid w:val="006B57BD"/>
    <w:rsid w:val="006C1643"/>
    <w:rsid w:val="006C17E3"/>
    <w:rsid w:val="006C64B8"/>
    <w:rsid w:val="006D7962"/>
    <w:rsid w:val="006E50C4"/>
    <w:rsid w:val="006F1A4C"/>
    <w:rsid w:val="007021F4"/>
    <w:rsid w:val="007054D1"/>
    <w:rsid w:val="00712F33"/>
    <w:rsid w:val="00713008"/>
    <w:rsid w:val="007146CA"/>
    <w:rsid w:val="00716A84"/>
    <w:rsid w:val="00721E0D"/>
    <w:rsid w:val="00722AB5"/>
    <w:rsid w:val="00727A5A"/>
    <w:rsid w:val="0073569A"/>
    <w:rsid w:val="00740228"/>
    <w:rsid w:val="00743270"/>
    <w:rsid w:val="007500D8"/>
    <w:rsid w:val="00750D9C"/>
    <w:rsid w:val="007514DB"/>
    <w:rsid w:val="00751CAA"/>
    <w:rsid w:val="00752956"/>
    <w:rsid w:val="0075782D"/>
    <w:rsid w:val="007616B9"/>
    <w:rsid w:val="007630B0"/>
    <w:rsid w:val="00764D3D"/>
    <w:rsid w:val="007667F7"/>
    <w:rsid w:val="00767771"/>
    <w:rsid w:val="00767E12"/>
    <w:rsid w:val="00770A8C"/>
    <w:rsid w:val="00770BC5"/>
    <w:rsid w:val="007770BE"/>
    <w:rsid w:val="007866D1"/>
    <w:rsid w:val="00790F39"/>
    <w:rsid w:val="00792F1D"/>
    <w:rsid w:val="00793C26"/>
    <w:rsid w:val="00797A3F"/>
    <w:rsid w:val="007A1074"/>
    <w:rsid w:val="007A1512"/>
    <w:rsid w:val="007A25A0"/>
    <w:rsid w:val="007A3AC8"/>
    <w:rsid w:val="007A4DCF"/>
    <w:rsid w:val="007A5E21"/>
    <w:rsid w:val="007A60BB"/>
    <w:rsid w:val="007A6D6B"/>
    <w:rsid w:val="007B0BC2"/>
    <w:rsid w:val="007B16C1"/>
    <w:rsid w:val="007B4033"/>
    <w:rsid w:val="007B5772"/>
    <w:rsid w:val="007B5A36"/>
    <w:rsid w:val="007C4DA3"/>
    <w:rsid w:val="007C4DC1"/>
    <w:rsid w:val="007C58C4"/>
    <w:rsid w:val="007D32B0"/>
    <w:rsid w:val="007D4037"/>
    <w:rsid w:val="007D5A90"/>
    <w:rsid w:val="007E10A2"/>
    <w:rsid w:val="007E5AE3"/>
    <w:rsid w:val="007F0599"/>
    <w:rsid w:val="007F2F54"/>
    <w:rsid w:val="0080003D"/>
    <w:rsid w:val="008019AF"/>
    <w:rsid w:val="008020E5"/>
    <w:rsid w:val="0081426E"/>
    <w:rsid w:val="00815F66"/>
    <w:rsid w:val="00820FED"/>
    <w:rsid w:val="008261E6"/>
    <w:rsid w:val="008300FE"/>
    <w:rsid w:val="00832660"/>
    <w:rsid w:val="00833B93"/>
    <w:rsid w:val="00834741"/>
    <w:rsid w:val="00840706"/>
    <w:rsid w:val="00844F8A"/>
    <w:rsid w:val="008467F9"/>
    <w:rsid w:val="008506DD"/>
    <w:rsid w:val="00852DB4"/>
    <w:rsid w:val="00854738"/>
    <w:rsid w:val="00855377"/>
    <w:rsid w:val="00857CEA"/>
    <w:rsid w:val="00860BA1"/>
    <w:rsid w:val="0086417C"/>
    <w:rsid w:val="00874446"/>
    <w:rsid w:val="00874860"/>
    <w:rsid w:val="0087659A"/>
    <w:rsid w:val="00877879"/>
    <w:rsid w:val="0087790D"/>
    <w:rsid w:val="00882DB5"/>
    <w:rsid w:val="00897263"/>
    <w:rsid w:val="008A0B4D"/>
    <w:rsid w:val="008A276E"/>
    <w:rsid w:val="008A27EB"/>
    <w:rsid w:val="008A43A0"/>
    <w:rsid w:val="008A45ED"/>
    <w:rsid w:val="008A78AE"/>
    <w:rsid w:val="008B0257"/>
    <w:rsid w:val="008B2798"/>
    <w:rsid w:val="008C043A"/>
    <w:rsid w:val="008C2B6A"/>
    <w:rsid w:val="008D07F7"/>
    <w:rsid w:val="008D424A"/>
    <w:rsid w:val="008D51D4"/>
    <w:rsid w:val="008D73DD"/>
    <w:rsid w:val="008E499D"/>
    <w:rsid w:val="008E7735"/>
    <w:rsid w:val="008F34A6"/>
    <w:rsid w:val="008F3CDC"/>
    <w:rsid w:val="008F6F03"/>
    <w:rsid w:val="009047B2"/>
    <w:rsid w:val="00906FD4"/>
    <w:rsid w:val="00914396"/>
    <w:rsid w:val="00915CF3"/>
    <w:rsid w:val="00917361"/>
    <w:rsid w:val="009175C6"/>
    <w:rsid w:val="00920466"/>
    <w:rsid w:val="0092126E"/>
    <w:rsid w:val="00927B1B"/>
    <w:rsid w:val="00933164"/>
    <w:rsid w:val="009370FC"/>
    <w:rsid w:val="00937CCA"/>
    <w:rsid w:val="00941362"/>
    <w:rsid w:val="00941B24"/>
    <w:rsid w:val="00942BB5"/>
    <w:rsid w:val="00943E88"/>
    <w:rsid w:val="0094632A"/>
    <w:rsid w:val="0094730C"/>
    <w:rsid w:val="00951222"/>
    <w:rsid w:val="0095264F"/>
    <w:rsid w:val="0095289D"/>
    <w:rsid w:val="00953A11"/>
    <w:rsid w:val="009542C4"/>
    <w:rsid w:val="00955982"/>
    <w:rsid w:val="00957C5B"/>
    <w:rsid w:val="0096173D"/>
    <w:rsid w:val="0096358B"/>
    <w:rsid w:val="00975E3D"/>
    <w:rsid w:val="009804DC"/>
    <w:rsid w:val="00981D8C"/>
    <w:rsid w:val="0098483D"/>
    <w:rsid w:val="00987A31"/>
    <w:rsid w:val="00992EAF"/>
    <w:rsid w:val="0099474F"/>
    <w:rsid w:val="00997234"/>
    <w:rsid w:val="009A0911"/>
    <w:rsid w:val="009A4325"/>
    <w:rsid w:val="009A50AF"/>
    <w:rsid w:val="009A7F90"/>
    <w:rsid w:val="009B1816"/>
    <w:rsid w:val="009B4610"/>
    <w:rsid w:val="009C66E4"/>
    <w:rsid w:val="009C6923"/>
    <w:rsid w:val="009C6FD7"/>
    <w:rsid w:val="009C7188"/>
    <w:rsid w:val="009D2144"/>
    <w:rsid w:val="009E36A1"/>
    <w:rsid w:val="009E3AD0"/>
    <w:rsid w:val="009E4669"/>
    <w:rsid w:val="009E482C"/>
    <w:rsid w:val="009F107F"/>
    <w:rsid w:val="009F204B"/>
    <w:rsid w:val="00A04429"/>
    <w:rsid w:val="00A06516"/>
    <w:rsid w:val="00A15C9B"/>
    <w:rsid w:val="00A273E8"/>
    <w:rsid w:val="00A301E8"/>
    <w:rsid w:val="00A30EF2"/>
    <w:rsid w:val="00A31F75"/>
    <w:rsid w:val="00A372E4"/>
    <w:rsid w:val="00A37B87"/>
    <w:rsid w:val="00A40B6B"/>
    <w:rsid w:val="00A44014"/>
    <w:rsid w:val="00A46849"/>
    <w:rsid w:val="00A51FA7"/>
    <w:rsid w:val="00A52896"/>
    <w:rsid w:val="00A560F3"/>
    <w:rsid w:val="00A63912"/>
    <w:rsid w:val="00A6547C"/>
    <w:rsid w:val="00A67C14"/>
    <w:rsid w:val="00A71C2F"/>
    <w:rsid w:val="00A847B3"/>
    <w:rsid w:val="00A85FBA"/>
    <w:rsid w:val="00A901CC"/>
    <w:rsid w:val="00A95C7F"/>
    <w:rsid w:val="00AC16E1"/>
    <w:rsid w:val="00AC17B1"/>
    <w:rsid w:val="00AC1B98"/>
    <w:rsid w:val="00AC24AD"/>
    <w:rsid w:val="00AC6493"/>
    <w:rsid w:val="00AD1D7A"/>
    <w:rsid w:val="00AD39DF"/>
    <w:rsid w:val="00AE2DEC"/>
    <w:rsid w:val="00AE3B36"/>
    <w:rsid w:val="00AE5FB6"/>
    <w:rsid w:val="00AE6CD8"/>
    <w:rsid w:val="00AF21EF"/>
    <w:rsid w:val="00B001EB"/>
    <w:rsid w:val="00B03F28"/>
    <w:rsid w:val="00B070B4"/>
    <w:rsid w:val="00B078FE"/>
    <w:rsid w:val="00B10AAC"/>
    <w:rsid w:val="00B110DF"/>
    <w:rsid w:val="00B11294"/>
    <w:rsid w:val="00B12E68"/>
    <w:rsid w:val="00B15C94"/>
    <w:rsid w:val="00B20B2A"/>
    <w:rsid w:val="00B21F80"/>
    <w:rsid w:val="00B22256"/>
    <w:rsid w:val="00B23927"/>
    <w:rsid w:val="00B3684C"/>
    <w:rsid w:val="00B37A85"/>
    <w:rsid w:val="00B4257F"/>
    <w:rsid w:val="00B440E1"/>
    <w:rsid w:val="00B44923"/>
    <w:rsid w:val="00B47A26"/>
    <w:rsid w:val="00B53341"/>
    <w:rsid w:val="00B53B06"/>
    <w:rsid w:val="00B552F6"/>
    <w:rsid w:val="00B60F3E"/>
    <w:rsid w:val="00B641F2"/>
    <w:rsid w:val="00B701A5"/>
    <w:rsid w:val="00B70F7F"/>
    <w:rsid w:val="00B722A5"/>
    <w:rsid w:val="00B7246E"/>
    <w:rsid w:val="00B73091"/>
    <w:rsid w:val="00B73BFA"/>
    <w:rsid w:val="00B74003"/>
    <w:rsid w:val="00B74745"/>
    <w:rsid w:val="00B81A72"/>
    <w:rsid w:val="00B82088"/>
    <w:rsid w:val="00B85FD1"/>
    <w:rsid w:val="00B92A16"/>
    <w:rsid w:val="00B92FFA"/>
    <w:rsid w:val="00B936A5"/>
    <w:rsid w:val="00B94818"/>
    <w:rsid w:val="00BA0A3C"/>
    <w:rsid w:val="00BA2BBC"/>
    <w:rsid w:val="00BA44F6"/>
    <w:rsid w:val="00BB390C"/>
    <w:rsid w:val="00BB409B"/>
    <w:rsid w:val="00BB437C"/>
    <w:rsid w:val="00BB5D24"/>
    <w:rsid w:val="00BB5E89"/>
    <w:rsid w:val="00BC0DAE"/>
    <w:rsid w:val="00BC78AE"/>
    <w:rsid w:val="00BD6F66"/>
    <w:rsid w:val="00BE12AA"/>
    <w:rsid w:val="00BE14AD"/>
    <w:rsid w:val="00BE28C7"/>
    <w:rsid w:val="00BE3C79"/>
    <w:rsid w:val="00BE51BC"/>
    <w:rsid w:val="00BE75D7"/>
    <w:rsid w:val="00BE7D73"/>
    <w:rsid w:val="00BF0B62"/>
    <w:rsid w:val="00BF1CA6"/>
    <w:rsid w:val="00C023E7"/>
    <w:rsid w:val="00C024D5"/>
    <w:rsid w:val="00C03BEB"/>
    <w:rsid w:val="00C04461"/>
    <w:rsid w:val="00C063EE"/>
    <w:rsid w:val="00C105EA"/>
    <w:rsid w:val="00C164F0"/>
    <w:rsid w:val="00C216B4"/>
    <w:rsid w:val="00C21E4F"/>
    <w:rsid w:val="00C23C54"/>
    <w:rsid w:val="00C36E5F"/>
    <w:rsid w:val="00C40781"/>
    <w:rsid w:val="00C4121D"/>
    <w:rsid w:val="00C434D1"/>
    <w:rsid w:val="00C44F53"/>
    <w:rsid w:val="00C45E58"/>
    <w:rsid w:val="00C51BD7"/>
    <w:rsid w:val="00C5575A"/>
    <w:rsid w:val="00C56F01"/>
    <w:rsid w:val="00C63FF2"/>
    <w:rsid w:val="00C6639F"/>
    <w:rsid w:val="00C66D35"/>
    <w:rsid w:val="00C70167"/>
    <w:rsid w:val="00C70557"/>
    <w:rsid w:val="00C76A0D"/>
    <w:rsid w:val="00C830C7"/>
    <w:rsid w:val="00C87603"/>
    <w:rsid w:val="00C945CF"/>
    <w:rsid w:val="00CA4D7E"/>
    <w:rsid w:val="00CB0D6C"/>
    <w:rsid w:val="00CC0F72"/>
    <w:rsid w:val="00CC1B0D"/>
    <w:rsid w:val="00CD4651"/>
    <w:rsid w:val="00CD6EE1"/>
    <w:rsid w:val="00CE3671"/>
    <w:rsid w:val="00CE4A65"/>
    <w:rsid w:val="00CE7531"/>
    <w:rsid w:val="00CE7F1A"/>
    <w:rsid w:val="00CF34F1"/>
    <w:rsid w:val="00D01B9D"/>
    <w:rsid w:val="00D12CC8"/>
    <w:rsid w:val="00D17E37"/>
    <w:rsid w:val="00D20B47"/>
    <w:rsid w:val="00D236D6"/>
    <w:rsid w:val="00D24FE9"/>
    <w:rsid w:val="00D335AA"/>
    <w:rsid w:val="00D422B2"/>
    <w:rsid w:val="00D42F81"/>
    <w:rsid w:val="00D440D9"/>
    <w:rsid w:val="00D50775"/>
    <w:rsid w:val="00D52B4D"/>
    <w:rsid w:val="00D600B4"/>
    <w:rsid w:val="00D64EF3"/>
    <w:rsid w:val="00D652CD"/>
    <w:rsid w:val="00D74505"/>
    <w:rsid w:val="00D74F88"/>
    <w:rsid w:val="00D7588D"/>
    <w:rsid w:val="00D76D77"/>
    <w:rsid w:val="00D76E6F"/>
    <w:rsid w:val="00D846C7"/>
    <w:rsid w:val="00D90034"/>
    <w:rsid w:val="00D90968"/>
    <w:rsid w:val="00D91329"/>
    <w:rsid w:val="00D92EE6"/>
    <w:rsid w:val="00D94598"/>
    <w:rsid w:val="00D94C99"/>
    <w:rsid w:val="00D961C5"/>
    <w:rsid w:val="00D96B70"/>
    <w:rsid w:val="00D97012"/>
    <w:rsid w:val="00DA0A66"/>
    <w:rsid w:val="00DA13D4"/>
    <w:rsid w:val="00DA1524"/>
    <w:rsid w:val="00DB387A"/>
    <w:rsid w:val="00DB5AF6"/>
    <w:rsid w:val="00DB5E3C"/>
    <w:rsid w:val="00DB6FDB"/>
    <w:rsid w:val="00DC4A4C"/>
    <w:rsid w:val="00DC5CE0"/>
    <w:rsid w:val="00DC5F90"/>
    <w:rsid w:val="00DD0636"/>
    <w:rsid w:val="00DD3E3A"/>
    <w:rsid w:val="00DD75E0"/>
    <w:rsid w:val="00DE2AAD"/>
    <w:rsid w:val="00DE6F2C"/>
    <w:rsid w:val="00DF1C57"/>
    <w:rsid w:val="00DF6D56"/>
    <w:rsid w:val="00DF7644"/>
    <w:rsid w:val="00E01A6C"/>
    <w:rsid w:val="00E01AAD"/>
    <w:rsid w:val="00E02C1C"/>
    <w:rsid w:val="00E03F83"/>
    <w:rsid w:val="00E05786"/>
    <w:rsid w:val="00E10255"/>
    <w:rsid w:val="00E14C91"/>
    <w:rsid w:val="00E17074"/>
    <w:rsid w:val="00E252B6"/>
    <w:rsid w:val="00E30B07"/>
    <w:rsid w:val="00E30DAF"/>
    <w:rsid w:val="00E325B0"/>
    <w:rsid w:val="00E32D07"/>
    <w:rsid w:val="00E33CB9"/>
    <w:rsid w:val="00E367B4"/>
    <w:rsid w:val="00E3684E"/>
    <w:rsid w:val="00E45B2A"/>
    <w:rsid w:val="00E476CA"/>
    <w:rsid w:val="00E50DF0"/>
    <w:rsid w:val="00E513A2"/>
    <w:rsid w:val="00E53A37"/>
    <w:rsid w:val="00E553CB"/>
    <w:rsid w:val="00E55EA8"/>
    <w:rsid w:val="00E60C73"/>
    <w:rsid w:val="00E61808"/>
    <w:rsid w:val="00E63837"/>
    <w:rsid w:val="00E64478"/>
    <w:rsid w:val="00E66CD0"/>
    <w:rsid w:val="00E7004A"/>
    <w:rsid w:val="00E72DCD"/>
    <w:rsid w:val="00E737B6"/>
    <w:rsid w:val="00E7585F"/>
    <w:rsid w:val="00E76E76"/>
    <w:rsid w:val="00E823EC"/>
    <w:rsid w:val="00E873C4"/>
    <w:rsid w:val="00E879F9"/>
    <w:rsid w:val="00E9120C"/>
    <w:rsid w:val="00E95C55"/>
    <w:rsid w:val="00E97016"/>
    <w:rsid w:val="00EA2B4B"/>
    <w:rsid w:val="00EA6247"/>
    <w:rsid w:val="00EB03B3"/>
    <w:rsid w:val="00EB23CD"/>
    <w:rsid w:val="00EB30B5"/>
    <w:rsid w:val="00EB33CF"/>
    <w:rsid w:val="00EB3B20"/>
    <w:rsid w:val="00EB5565"/>
    <w:rsid w:val="00EB6007"/>
    <w:rsid w:val="00EC5B33"/>
    <w:rsid w:val="00ED037F"/>
    <w:rsid w:val="00ED0A21"/>
    <w:rsid w:val="00ED1F44"/>
    <w:rsid w:val="00ED6325"/>
    <w:rsid w:val="00EE1370"/>
    <w:rsid w:val="00EE6E51"/>
    <w:rsid w:val="00EF13B5"/>
    <w:rsid w:val="00EF3302"/>
    <w:rsid w:val="00EF3E30"/>
    <w:rsid w:val="00EF4EE3"/>
    <w:rsid w:val="00EF5CC3"/>
    <w:rsid w:val="00F102F1"/>
    <w:rsid w:val="00F11C60"/>
    <w:rsid w:val="00F12EE5"/>
    <w:rsid w:val="00F143B6"/>
    <w:rsid w:val="00F17630"/>
    <w:rsid w:val="00F20DDB"/>
    <w:rsid w:val="00F213EE"/>
    <w:rsid w:val="00F26B40"/>
    <w:rsid w:val="00F3217D"/>
    <w:rsid w:val="00F33938"/>
    <w:rsid w:val="00F33B4C"/>
    <w:rsid w:val="00F34E82"/>
    <w:rsid w:val="00F37293"/>
    <w:rsid w:val="00F41799"/>
    <w:rsid w:val="00F41EB1"/>
    <w:rsid w:val="00F4409B"/>
    <w:rsid w:val="00F45A77"/>
    <w:rsid w:val="00F47F7C"/>
    <w:rsid w:val="00F52C1E"/>
    <w:rsid w:val="00F552B1"/>
    <w:rsid w:val="00F6478A"/>
    <w:rsid w:val="00F6640F"/>
    <w:rsid w:val="00F67854"/>
    <w:rsid w:val="00F72433"/>
    <w:rsid w:val="00F72B26"/>
    <w:rsid w:val="00F75F15"/>
    <w:rsid w:val="00F76BAE"/>
    <w:rsid w:val="00F81A97"/>
    <w:rsid w:val="00F825AD"/>
    <w:rsid w:val="00F83949"/>
    <w:rsid w:val="00F855B6"/>
    <w:rsid w:val="00F86617"/>
    <w:rsid w:val="00F87165"/>
    <w:rsid w:val="00F96431"/>
    <w:rsid w:val="00F96A87"/>
    <w:rsid w:val="00FA03BE"/>
    <w:rsid w:val="00FA31EB"/>
    <w:rsid w:val="00FB34EF"/>
    <w:rsid w:val="00FB4A4C"/>
    <w:rsid w:val="00FB4D60"/>
    <w:rsid w:val="00FB773A"/>
    <w:rsid w:val="00FC04DD"/>
    <w:rsid w:val="00FC2FF5"/>
    <w:rsid w:val="00FD7926"/>
    <w:rsid w:val="00FE24A6"/>
    <w:rsid w:val="00FE27D3"/>
    <w:rsid w:val="00FE2D7B"/>
    <w:rsid w:val="00FE590E"/>
    <w:rsid w:val="00FE6CA5"/>
    <w:rsid w:val="00FE7396"/>
    <w:rsid w:val="00FE7EA9"/>
    <w:rsid w:val="00FF1B62"/>
    <w:rsid w:val="00FF1D56"/>
    <w:rsid w:val="00FF4DFC"/>
    <w:rsid w:val="00FF5513"/>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7B2E2"/>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styleId="NormalWeb">
    <w:name w:val="Normal (Web)"/>
    <w:basedOn w:val="Normal"/>
    <w:uiPriority w:val="99"/>
    <w:semiHidden/>
    <w:unhideWhenUsed/>
    <w:rsid w:val="0080003D"/>
    <w:pPr>
      <w:overflowPunct/>
      <w:autoSpaceDE/>
      <w:autoSpaceDN/>
      <w:adjustRightInd/>
      <w:spacing w:before="100" w:beforeAutospacing="1" w:after="100" w:afterAutospacing="1"/>
      <w:jc w:val="left"/>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4854">
      <w:bodyDiv w:val="1"/>
      <w:marLeft w:val="0"/>
      <w:marRight w:val="0"/>
      <w:marTop w:val="0"/>
      <w:marBottom w:val="0"/>
      <w:divBdr>
        <w:top w:val="none" w:sz="0" w:space="0" w:color="auto"/>
        <w:left w:val="none" w:sz="0" w:space="0" w:color="auto"/>
        <w:bottom w:val="none" w:sz="0" w:space="0" w:color="auto"/>
        <w:right w:val="none" w:sz="0" w:space="0" w:color="auto"/>
      </w:divBdr>
    </w:div>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555092181">
      <w:bodyDiv w:val="1"/>
      <w:marLeft w:val="0"/>
      <w:marRight w:val="0"/>
      <w:marTop w:val="0"/>
      <w:marBottom w:val="0"/>
      <w:divBdr>
        <w:top w:val="none" w:sz="0" w:space="0" w:color="auto"/>
        <w:left w:val="none" w:sz="0" w:space="0" w:color="auto"/>
        <w:bottom w:val="none" w:sz="0" w:space="0" w:color="auto"/>
        <w:right w:val="none" w:sz="0" w:space="0" w:color="auto"/>
      </w:divBdr>
    </w:div>
    <w:div w:id="797797593">
      <w:bodyDiv w:val="1"/>
      <w:marLeft w:val="0"/>
      <w:marRight w:val="0"/>
      <w:marTop w:val="0"/>
      <w:marBottom w:val="0"/>
      <w:divBdr>
        <w:top w:val="none" w:sz="0" w:space="0" w:color="auto"/>
        <w:left w:val="none" w:sz="0" w:space="0" w:color="auto"/>
        <w:bottom w:val="none" w:sz="0" w:space="0" w:color="auto"/>
        <w:right w:val="none" w:sz="0" w:space="0" w:color="auto"/>
      </w:divBdr>
      <w:divsChild>
        <w:div w:id="2071733338">
          <w:marLeft w:val="547"/>
          <w:marRight w:val="0"/>
          <w:marTop w:val="154"/>
          <w:marBottom w:val="0"/>
          <w:divBdr>
            <w:top w:val="none" w:sz="0" w:space="0" w:color="auto"/>
            <w:left w:val="none" w:sz="0" w:space="0" w:color="auto"/>
            <w:bottom w:val="none" w:sz="0" w:space="0" w:color="auto"/>
            <w:right w:val="none" w:sz="0" w:space="0" w:color="auto"/>
          </w:divBdr>
        </w:div>
      </w:divsChild>
    </w:div>
    <w:div w:id="868488944">
      <w:bodyDiv w:val="1"/>
      <w:marLeft w:val="0"/>
      <w:marRight w:val="0"/>
      <w:marTop w:val="0"/>
      <w:marBottom w:val="0"/>
      <w:divBdr>
        <w:top w:val="none" w:sz="0" w:space="0" w:color="auto"/>
        <w:left w:val="none" w:sz="0" w:space="0" w:color="auto"/>
        <w:bottom w:val="none" w:sz="0" w:space="0" w:color="auto"/>
        <w:right w:val="none" w:sz="0" w:space="0" w:color="auto"/>
      </w:divBdr>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270433119">
      <w:bodyDiv w:val="1"/>
      <w:marLeft w:val="0"/>
      <w:marRight w:val="0"/>
      <w:marTop w:val="0"/>
      <w:marBottom w:val="0"/>
      <w:divBdr>
        <w:top w:val="none" w:sz="0" w:space="0" w:color="auto"/>
        <w:left w:val="none" w:sz="0" w:space="0" w:color="auto"/>
        <w:bottom w:val="none" w:sz="0" w:space="0" w:color="auto"/>
        <w:right w:val="none" w:sz="0" w:space="0" w:color="auto"/>
      </w:divBdr>
    </w:div>
    <w:div w:id="1319724358">
      <w:bodyDiv w:val="1"/>
      <w:marLeft w:val="0"/>
      <w:marRight w:val="0"/>
      <w:marTop w:val="0"/>
      <w:marBottom w:val="0"/>
      <w:divBdr>
        <w:top w:val="none" w:sz="0" w:space="0" w:color="auto"/>
        <w:left w:val="none" w:sz="0" w:space="0" w:color="auto"/>
        <w:bottom w:val="none" w:sz="0" w:space="0" w:color="auto"/>
        <w:right w:val="none" w:sz="0" w:space="0" w:color="auto"/>
      </w:divBdr>
      <w:divsChild>
        <w:div w:id="1876968503">
          <w:marLeft w:val="547"/>
          <w:marRight w:val="0"/>
          <w:marTop w:val="130"/>
          <w:marBottom w:val="0"/>
          <w:divBdr>
            <w:top w:val="none" w:sz="0" w:space="0" w:color="auto"/>
            <w:left w:val="none" w:sz="0" w:space="0" w:color="auto"/>
            <w:bottom w:val="none" w:sz="0" w:space="0" w:color="auto"/>
            <w:right w:val="none" w:sz="0" w:space="0" w:color="auto"/>
          </w:divBdr>
        </w:div>
        <w:div w:id="52968967">
          <w:marLeft w:val="1166"/>
          <w:marRight w:val="0"/>
          <w:marTop w:val="96"/>
          <w:marBottom w:val="0"/>
          <w:divBdr>
            <w:top w:val="none" w:sz="0" w:space="0" w:color="auto"/>
            <w:left w:val="none" w:sz="0" w:space="0" w:color="auto"/>
            <w:bottom w:val="none" w:sz="0" w:space="0" w:color="auto"/>
            <w:right w:val="none" w:sz="0" w:space="0" w:color="auto"/>
          </w:divBdr>
        </w:div>
        <w:div w:id="1423912960">
          <w:marLeft w:val="1166"/>
          <w:marRight w:val="0"/>
          <w:marTop w:val="96"/>
          <w:marBottom w:val="0"/>
          <w:divBdr>
            <w:top w:val="none" w:sz="0" w:space="0" w:color="auto"/>
            <w:left w:val="none" w:sz="0" w:space="0" w:color="auto"/>
            <w:bottom w:val="none" w:sz="0" w:space="0" w:color="auto"/>
            <w:right w:val="none" w:sz="0" w:space="0" w:color="auto"/>
          </w:divBdr>
        </w:div>
        <w:div w:id="847866021">
          <w:marLeft w:val="1800"/>
          <w:marRight w:val="0"/>
          <w:marTop w:val="82"/>
          <w:marBottom w:val="0"/>
          <w:divBdr>
            <w:top w:val="none" w:sz="0" w:space="0" w:color="auto"/>
            <w:left w:val="none" w:sz="0" w:space="0" w:color="auto"/>
            <w:bottom w:val="none" w:sz="0" w:space="0" w:color="auto"/>
            <w:right w:val="none" w:sz="0" w:space="0" w:color="auto"/>
          </w:divBdr>
        </w:div>
        <w:div w:id="2074352183">
          <w:marLeft w:val="1800"/>
          <w:marRight w:val="0"/>
          <w:marTop w:val="82"/>
          <w:marBottom w:val="0"/>
          <w:divBdr>
            <w:top w:val="none" w:sz="0" w:space="0" w:color="auto"/>
            <w:left w:val="none" w:sz="0" w:space="0" w:color="auto"/>
            <w:bottom w:val="none" w:sz="0" w:space="0" w:color="auto"/>
            <w:right w:val="none" w:sz="0" w:space="0" w:color="auto"/>
          </w:divBdr>
        </w:div>
        <w:div w:id="1955089465">
          <w:marLeft w:val="1800"/>
          <w:marRight w:val="0"/>
          <w:marTop w:val="82"/>
          <w:marBottom w:val="0"/>
          <w:divBdr>
            <w:top w:val="none" w:sz="0" w:space="0" w:color="auto"/>
            <w:left w:val="none" w:sz="0" w:space="0" w:color="auto"/>
            <w:bottom w:val="none" w:sz="0" w:space="0" w:color="auto"/>
            <w:right w:val="none" w:sz="0" w:space="0" w:color="auto"/>
          </w:divBdr>
        </w:div>
      </w:divsChild>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598711195">
      <w:bodyDiv w:val="1"/>
      <w:marLeft w:val="0"/>
      <w:marRight w:val="0"/>
      <w:marTop w:val="0"/>
      <w:marBottom w:val="0"/>
      <w:divBdr>
        <w:top w:val="none" w:sz="0" w:space="0" w:color="auto"/>
        <w:left w:val="none" w:sz="0" w:space="0" w:color="auto"/>
        <w:bottom w:val="none" w:sz="0" w:space="0" w:color="auto"/>
        <w:right w:val="none" w:sz="0" w:space="0" w:color="auto"/>
      </w:divBdr>
    </w:div>
    <w:div w:id="1704329885">
      <w:bodyDiv w:val="1"/>
      <w:marLeft w:val="0"/>
      <w:marRight w:val="0"/>
      <w:marTop w:val="0"/>
      <w:marBottom w:val="0"/>
      <w:divBdr>
        <w:top w:val="none" w:sz="0" w:space="0" w:color="auto"/>
        <w:left w:val="none" w:sz="0" w:space="0" w:color="auto"/>
        <w:bottom w:val="none" w:sz="0" w:space="0" w:color="auto"/>
        <w:right w:val="none" w:sz="0" w:space="0" w:color="auto"/>
      </w:divBdr>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67067791">
      <w:bodyDiv w:val="1"/>
      <w:marLeft w:val="0"/>
      <w:marRight w:val="0"/>
      <w:marTop w:val="0"/>
      <w:marBottom w:val="0"/>
      <w:divBdr>
        <w:top w:val="none" w:sz="0" w:space="0" w:color="auto"/>
        <w:left w:val="none" w:sz="0" w:space="0" w:color="auto"/>
        <w:bottom w:val="none" w:sz="0" w:space="0" w:color="auto"/>
        <w:right w:val="none" w:sz="0" w:space="0" w:color="auto"/>
      </w:divBdr>
      <w:divsChild>
        <w:div w:id="1130979848">
          <w:marLeft w:val="547"/>
          <w:marRight w:val="0"/>
          <w:marTop w:val="154"/>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1793203764">
      <w:bodyDiv w:val="1"/>
      <w:marLeft w:val="0"/>
      <w:marRight w:val="0"/>
      <w:marTop w:val="0"/>
      <w:marBottom w:val="0"/>
      <w:divBdr>
        <w:top w:val="none" w:sz="0" w:space="0" w:color="auto"/>
        <w:left w:val="none" w:sz="0" w:space="0" w:color="auto"/>
        <w:bottom w:val="none" w:sz="0" w:space="0" w:color="auto"/>
        <w:right w:val="none" w:sz="0" w:space="0" w:color="auto"/>
      </w:divBdr>
    </w:div>
    <w:div w:id="1868831791">
      <w:bodyDiv w:val="1"/>
      <w:marLeft w:val="0"/>
      <w:marRight w:val="0"/>
      <w:marTop w:val="0"/>
      <w:marBottom w:val="0"/>
      <w:divBdr>
        <w:top w:val="none" w:sz="0" w:space="0" w:color="auto"/>
        <w:left w:val="none" w:sz="0" w:space="0" w:color="auto"/>
        <w:bottom w:val="none" w:sz="0" w:space="0" w:color="auto"/>
        <w:right w:val="none" w:sz="0" w:space="0" w:color="auto"/>
      </w:divBdr>
      <w:divsChild>
        <w:div w:id="1245994184">
          <w:marLeft w:val="547"/>
          <w:marRight w:val="0"/>
          <w:marTop w:val="144"/>
          <w:marBottom w:val="0"/>
          <w:divBdr>
            <w:top w:val="none" w:sz="0" w:space="0" w:color="auto"/>
            <w:left w:val="none" w:sz="0" w:space="0" w:color="auto"/>
            <w:bottom w:val="none" w:sz="0" w:space="0" w:color="auto"/>
            <w:right w:val="none" w:sz="0" w:space="0" w:color="auto"/>
          </w:divBdr>
        </w:div>
        <w:div w:id="954091992">
          <w:marLeft w:val="1166"/>
          <w:marRight w:val="0"/>
          <w:marTop w:val="125"/>
          <w:marBottom w:val="0"/>
          <w:divBdr>
            <w:top w:val="none" w:sz="0" w:space="0" w:color="auto"/>
            <w:left w:val="none" w:sz="0" w:space="0" w:color="auto"/>
            <w:bottom w:val="none" w:sz="0" w:space="0" w:color="auto"/>
            <w:right w:val="none" w:sz="0" w:space="0" w:color="auto"/>
          </w:divBdr>
        </w:div>
        <w:div w:id="226572074">
          <w:marLeft w:val="1800"/>
          <w:marRight w:val="0"/>
          <w:marTop w:val="106"/>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8331A-0278-4805-BD09-4DC3602B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1057</TotalTime>
  <Pages>4</Pages>
  <Words>1460</Words>
  <Characters>8327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58</cp:revision>
  <cp:lastPrinted>2016-10-28T06:38:00Z</cp:lastPrinted>
  <dcterms:created xsi:type="dcterms:W3CDTF">2017-01-23T08:33:00Z</dcterms:created>
  <dcterms:modified xsi:type="dcterms:W3CDTF">2017-02-03T13:51:00Z</dcterms:modified>
</cp:coreProperties>
</file>